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47" w:rsidRDefault="00A16E47" w:rsidP="00A16E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="0024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27" w:rsidRDefault="00240827" w:rsidP="00A16E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E47" w:rsidRPr="00240827" w:rsidRDefault="00240827" w:rsidP="00A16E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0827">
        <w:rPr>
          <w:rFonts w:ascii="Times New Roman" w:hAnsi="Times New Roman" w:cs="Times New Roman"/>
          <w:i/>
          <w:sz w:val="28"/>
          <w:szCs w:val="28"/>
        </w:rPr>
        <w:t>Елена Николаевна</w:t>
      </w:r>
      <w:r w:rsidRPr="00240827">
        <w:rPr>
          <w:i/>
        </w:rPr>
        <w:t xml:space="preserve"> </w:t>
      </w:r>
      <w:proofErr w:type="spellStart"/>
      <w:r w:rsidRPr="00240827">
        <w:rPr>
          <w:rFonts w:ascii="Times New Roman" w:hAnsi="Times New Roman" w:cs="Times New Roman"/>
          <w:i/>
          <w:sz w:val="28"/>
          <w:szCs w:val="28"/>
        </w:rPr>
        <w:t>Дыбова</w:t>
      </w:r>
      <w:proofErr w:type="spellEnd"/>
      <w:r w:rsidRPr="0024082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40827" w:rsidRDefault="00240827" w:rsidP="00A16E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0827">
        <w:rPr>
          <w:rFonts w:ascii="Times New Roman" w:hAnsi="Times New Roman" w:cs="Times New Roman"/>
          <w:i/>
          <w:sz w:val="28"/>
          <w:szCs w:val="28"/>
        </w:rPr>
        <w:t>Заместитель председателя</w:t>
      </w:r>
    </w:p>
    <w:p w:rsidR="00A16E47" w:rsidRPr="00240827" w:rsidRDefault="00240827" w:rsidP="00A16E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08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E47" w:rsidRPr="00240827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E47" w:rsidRPr="00240827">
        <w:rPr>
          <w:rFonts w:ascii="Times New Roman" w:hAnsi="Times New Roman" w:cs="Times New Roman"/>
          <w:i/>
          <w:sz w:val="28"/>
          <w:szCs w:val="28"/>
        </w:rPr>
        <w:t>при ФАС России</w:t>
      </w:r>
    </w:p>
    <w:p w:rsidR="00A16E47" w:rsidRPr="00E16552" w:rsidRDefault="00A16E47" w:rsidP="00A16E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16E47" w:rsidRDefault="00A16E47" w:rsidP="00A16E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47" w:rsidRPr="008F05FD" w:rsidRDefault="00240827" w:rsidP="00A16E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FD">
        <w:rPr>
          <w:rFonts w:ascii="Times New Roman" w:hAnsi="Times New Roman" w:cs="Times New Roman"/>
          <w:b/>
          <w:sz w:val="28"/>
          <w:szCs w:val="28"/>
        </w:rPr>
        <w:t>«О д</w:t>
      </w:r>
      <w:r w:rsidR="00A16E47" w:rsidRPr="008F05FD">
        <w:rPr>
          <w:rFonts w:ascii="Times New Roman" w:hAnsi="Times New Roman" w:cs="Times New Roman"/>
          <w:b/>
          <w:sz w:val="28"/>
          <w:szCs w:val="28"/>
        </w:rPr>
        <w:t>оминировани</w:t>
      </w:r>
      <w:r w:rsidRPr="008F05FD">
        <w:rPr>
          <w:rFonts w:ascii="Times New Roman" w:hAnsi="Times New Roman" w:cs="Times New Roman"/>
          <w:b/>
          <w:sz w:val="28"/>
          <w:szCs w:val="28"/>
        </w:rPr>
        <w:t>и</w:t>
      </w:r>
      <w:r w:rsidR="00A16E47" w:rsidRPr="008F05FD">
        <w:rPr>
          <w:rFonts w:ascii="Times New Roman" w:hAnsi="Times New Roman" w:cs="Times New Roman"/>
          <w:b/>
          <w:sz w:val="28"/>
          <w:szCs w:val="28"/>
        </w:rPr>
        <w:t xml:space="preserve"> торговый сетей»</w:t>
      </w:r>
    </w:p>
    <w:p w:rsidR="00A16E47" w:rsidRPr="00A16E47" w:rsidRDefault="00A16E47" w:rsidP="00A16E4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F1B" w:rsidRDefault="00184943" w:rsidP="00A16E4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6E4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A16E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C5F1B" w:rsidRPr="00A16E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Доминирование федеральных торговых сетей как фактор </w:t>
      </w:r>
      <w:r w:rsidR="00A16E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DC5F1B" w:rsidRPr="00A16E47">
        <w:rPr>
          <w:rFonts w:ascii="Times New Roman" w:hAnsi="Times New Roman" w:cs="Times New Roman"/>
          <w:b/>
          <w:bCs/>
          <w:sz w:val="28"/>
          <w:szCs w:val="28"/>
          <w:u w:val="single"/>
        </w:rPr>
        <w:t>давления на региональны</w:t>
      </w:r>
      <w:r w:rsidR="00C64BA5" w:rsidRPr="00A16E47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DC5F1B" w:rsidRPr="00A16E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торговые сети и малую торговлю</w:t>
      </w:r>
    </w:p>
    <w:p w:rsidR="00A16E47" w:rsidRPr="00A16E47" w:rsidRDefault="00A16E47" w:rsidP="00A16E4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7745" w:rsidRPr="00184943" w:rsidRDefault="00767745" w:rsidP="00184943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494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статистика</w:t>
      </w:r>
    </w:p>
    <w:p w:rsidR="00767745" w:rsidRPr="00E61800" w:rsidRDefault="00767745" w:rsidP="00767745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E61800">
        <w:rPr>
          <w:rFonts w:ascii="Times New Roman" w:hAnsi="Times New Roman" w:cs="Times New Roman"/>
          <w:sz w:val="28"/>
          <w:szCs w:val="28"/>
        </w:rPr>
        <w:t xml:space="preserve">Топ-10 крупнейших продовольственных </w:t>
      </w:r>
      <w:proofErr w:type="spellStart"/>
      <w:r w:rsidRPr="00E61800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E61800">
        <w:rPr>
          <w:rFonts w:ascii="Times New Roman" w:hAnsi="Times New Roman" w:cs="Times New Roman"/>
          <w:sz w:val="28"/>
          <w:szCs w:val="28"/>
        </w:rPr>
        <w:t xml:space="preserve"> России по обороту:</w:t>
      </w:r>
      <w:r w:rsidRPr="00E61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4144"/>
        <w:gridCol w:w="2335"/>
        <w:gridCol w:w="2334"/>
      </w:tblGrid>
      <w:tr w:rsidR="00767745" w:rsidTr="00030164">
        <w:tc>
          <w:tcPr>
            <w:tcW w:w="534" w:type="dxa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1" w:type="dxa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Компания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Выручка за 2020 год</w:t>
            </w:r>
            <w:r>
              <w:rPr>
                <w:rFonts w:ascii="inherit" w:hAnsi="inherit"/>
                <w:color w:val="000000" w:themeColor="text1"/>
                <w:sz w:val="26"/>
                <w:szCs w:val="26"/>
              </w:rPr>
              <w:t>, млрд. руб.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Рост выручки</w:t>
            </w:r>
            <w:r>
              <w:rPr>
                <w:rFonts w:ascii="inherit" w:hAnsi="inherit"/>
                <w:color w:val="000000" w:themeColor="text1"/>
                <w:sz w:val="26"/>
                <w:szCs w:val="26"/>
              </w:rPr>
              <w:t xml:space="preserve"> за год, %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 xml:space="preserve">Х5 </w:t>
            </w:r>
            <w:proofErr w:type="spellStart"/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Retail</w:t>
            </w:r>
            <w:proofErr w:type="spellEnd"/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Group</w:t>
            </w:r>
            <w:proofErr w:type="spellEnd"/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1973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+14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Магнит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1510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+13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Дикси</w:t>
            </w:r>
            <w:proofErr w:type="spellEnd"/>
            <w:r>
              <w:rPr>
                <w:rFonts w:ascii="inherit" w:hAnsi="inherit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Красное&amp;Белое</w:t>
            </w:r>
            <w:proofErr w:type="spellEnd"/>
            <w:r>
              <w:rPr>
                <w:rFonts w:ascii="inherit" w:hAnsi="inherit"/>
                <w:color w:val="000000" w:themeColor="text1"/>
                <w:sz w:val="26"/>
                <w:szCs w:val="26"/>
              </w:rPr>
              <w:t xml:space="preserve">, </w:t>
            </w: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Бристоль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950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+18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767745" w:rsidRPr="00900AD0" w:rsidRDefault="00767745" w:rsidP="00030164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Лента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438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+7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767745" w:rsidRPr="00900AD0" w:rsidRDefault="00767745" w:rsidP="00030164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Ашан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255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-11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767745" w:rsidRPr="00900AD0" w:rsidRDefault="00767745" w:rsidP="00030164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Метро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204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+8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767745" w:rsidRPr="00900AD0" w:rsidRDefault="00767745" w:rsidP="00030164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Светофор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189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+39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767745" w:rsidRPr="00900AD0" w:rsidRDefault="00767745" w:rsidP="00030164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proofErr w:type="spellStart"/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Окей</w:t>
            </w:r>
            <w:proofErr w:type="spellEnd"/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+6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767745" w:rsidRPr="00900AD0" w:rsidRDefault="00767745" w:rsidP="00030164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Монетка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+11</w:t>
            </w:r>
          </w:p>
        </w:tc>
      </w:tr>
      <w:tr w:rsidR="00767745" w:rsidTr="00030164">
        <w:tc>
          <w:tcPr>
            <w:tcW w:w="534" w:type="dxa"/>
            <w:vAlign w:val="bottom"/>
          </w:tcPr>
          <w:p w:rsidR="00767745" w:rsidRDefault="00767745" w:rsidP="00030164">
            <w:pPr>
              <w:rPr>
                <w:color w:val="000000"/>
                <w:sz w:val="28"/>
                <w:szCs w:val="28"/>
                <w:u w:val="single"/>
              </w:rPr>
            </w:pPr>
            <w:r w:rsidRPr="00900A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767745" w:rsidRPr="00900AD0" w:rsidRDefault="00767745" w:rsidP="00240827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proofErr w:type="spellStart"/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Вкусв</w:t>
            </w:r>
            <w:r w:rsidR="00240827">
              <w:rPr>
                <w:rFonts w:ascii="inherit" w:hAnsi="inherit"/>
                <w:color w:val="000000" w:themeColor="text1"/>
                <w:sz w:val="26"/>
                <w:szCs w:val="26"/>
              </w:rPr>
              <w:t>и</w:t>
            </w: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лл</w:t>
            </w:r>
            <w:proofErr w:type="spellEnd"/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2393" w:type="dxa"/>
          </w:tcPr>
          <w:p w:rsidR="00767745" w:rsidRPr="00900AD0" w:rsidRDefault="00767745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 w:rsidRPr="00900AD0">
              <w:rPr>
                <w:rFonts w:ascii="inherit" w:hAnsi="inherit"/>
                <w:color w:val="000000" w:themeColor="text1"/>
                <w:sz w:val="26"/>
                <w:szCs w:val="26"/>
              </w:rPr>
              <w:t>+38</w:t>
            </w:r>
          </w:p>
        </w:tc>
      </w:tr>
      <w:tr w:rsidR="000F5ED3" w:rsidTr="00030164">
        <w:tc>
          <w:tcPr>
            <w:tcW w:w="534" w:type="dxa"/>
            <w:vAlign w:val="bottom"/>
          </w:tcPr>
          <w:p w:rsidR="000F5ED3" w:rsidRPr="00900AD0" w:rsidRDefault="000F5ED3" w:rsidP="000301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1" w:type="dxa"/>
          </w:tcPr>
          <w:p w:rsidR="000F5ED3" w:rsidRPr="00900AD0" w:rsidRDefault="000F5ED3" w:rsidP="00030164">
            <w:pPr>
              <w:rPr>
                <w:rFonts w:ascii="inherit" w:hAnsi="inherit"/>
                <w:color w:val="000000" w:themeColor="text1"/>
                <w:sz w:val="26"/>
                <w:szCs w:val="26"/>
              </w:rPr>
            </w:pPr>
            <w:r>
              <w:rPr>
                <w:rFonts w:ascii="inherit" w:hAnsi="inherit"/>
                <w:color w:val="000000" w:themeColor="text1"/>
                <w:sz w:val="26"/>
                <w:szCs w:val="26"/>
              </w:rPr>
              <w:t xml:space="preserve">Всего: </w:t>
            </w:r>
          </w:p>
        </w:tc>
        <w:tc>
          <w:tcPr>
            <w:tcW w:w="2393" w:type="dxa"/>
          </w:tcPr>
          <w:p w:rsidR="000F5ED3" w:rsidRPr="00E67EA2" w:rsidRDefault="000F5ED3" w:rsidP="00030164">
            <w:pPr>
              <w:jc w:val="center"/>
              <w:rPr>
                <w:rFonts w:ascii="inherit" w:hAnsi="inherit"/>
                <w:b/>
                <w:color w:val="000000" w:themeColor="text1"/>
                <w:sz w:val="26"/>
                <w:szCs w:val="26"/>
              </w:rPr>
            </w:pPr>
            <w:r w:rsidRPr="00E67EA2">
              <w:rPr>
                <w:rFonts w:ascii="inherit" w:hAnsi="inherit"/>
                <w:b/>
                <w:color w:val="000000" w:themeColor="text1"/>
                <w:sz w:val="26"/>
                <w:szCs w:val="26"/>
              </w:rPr>
              <w:t>5929</w:t>
            </w:r>
          </w:p>
        </w:tc>
        <w:tc>
          <w:tcPr>
            <w:tcW w:w="2393" w:type="dxa"/>
          </w:tcPr>
          <w:p w:rsidR="000F5ED3" w:rsidRPr="00900AD0" w:rsidRDefault="000F5ED3" w:rsidP="00030164">
            <w:pPr>
              <w:jc w:val="center"/>
              <w:rPr>
                <w:rFonts w:ascii="inherit" w:hAnsi="inherit"/>
                <w:color w:val="000000" w:themeColor="text1"/>
                <w:sz w:val="26"/>
                <w:szCs w:val="26"/>
              </w:rPr>
            </w:pPr>
          </w:p>
        </w:tc>
      </w:tr>
    </w:tbl>
    <w:p w:rsidR="000F5ED3" w:rsidRPr="00C57EB1" w:rsidRDefault="00C57EB1" w:rsidP="00C57EB1">
      <w:pPr>
        <w:spacing w:before="150" w:after="150" w:line="38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EB1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0F5ED3" w:rsidRPr="00C57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ТОП-10 </w:t>
      </w:r>
      <w:r w:rsidRPr="00C57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крупнейших сетей </w:t>
      </w:r>
      <w:r w:rsidR="000F5ED3" w:rsidRPr="00C5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r w:rsidRPr="00C5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ходи</w:t>
      </w:r>
      <w:r w:rsidR="0045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5ED3" w:rsidRPr="00C5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более 37% рынка.</w:t>
      </w:r>
    </w:p>
    <w:p w:rsidR="00C57EB1" w:rsidRPr="00E61800" w:rsidRDefault="00C57EB1" w:rsidP="00C57EB1">
      <w:pPr>
        <w:spacing w:after="0" w:line="26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61800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Частота совершения покупок в федеральных торговых сетях:</w:t>
      </w:r>
    </w:p>
    <w:p w:rsidR="00C57EB1" w:rsidRPr="0064226B" w:rsidRDefault="00C57EB1" w:rsidP="00C57EB1">
      <w:pPr>
        <w:pStyle w:val="a6"/>
        <w:numPr>
          <w:ilvl w:val="0"/>
          <w:numId w:val="8"/>
        </w:numPr>
        <w:spacing w:after="0" w:line="264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226B">
        <w:rPr>
          <w:rFonts w:ascii="Times New Roman" w:hAnsi="Times New Roman" w:cs="Times New Roman"/>
          <w:color w:val="000000"/>
          <w:sz w:val="28"/>
          <w:szCs w:val="28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60%</w:t>
      </w:r>
      <w:r w:rsidRPr="006422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57EB1" w:rsidRPr="0064226B" w:rsidRDefault="00C57EB1" w:rsidP="00C57EB1">
      <w:pPr>
        <w:pStyle w:val="a6"/>
        <w:numPr>
          <w:ilvl w:val="0"/>
          <w:numId w:val="8"/>
        </w:numPr>
        <w:spacing w:after="0" w:line="264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226B">
        <w:rPr>
          <w:rFonts w:ascii="Times New Roman" w:hAnsi="Times New Roman" w:cs="Times New Roman"/>
          <w:color w:val="000000"/>
          <w:sz w:val="28"/>
          <w:szCs w:val="28"/>
        </w:rPr>
        <w:t>время от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21%</w:t>
      </w:r>
      <w:r w:rsidRPr="006422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57EB1" w:rsidRPr="0064226B" w:rsidRDefault="00C57EB1" w:rsidP="00C57EB1">
      <w:pPr>
        <w:pStyle w:val="a6"/>
        <w:numPr>
          <w:ilvl w:val="0"/>
          <w:numId w:val="8"/>
        </w:numPr>
        <w:spacing w:after="0" w:line="264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226B">
        <w:rPr>
          <w:rFonts w:ascii="Times New Roman" w:hAnsi="Times New Roman" w:cs="Times New Roman"/>
          <w:color w:val="000000"/>
          <w:sz w:val="28"/>
          <w:szCs w:val="28"/>
        </w:rPr>
        <w:t>крайне редко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13%</w:t>
      </w:r>
      <w:r w:rsidRPr="006422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F5ED3" w:rsidRPr="00C57EB1" w:rsidRDefault="00C57EB1" w:rsidP="00892DED">
      <w:pPr>
        <w:pStyle w:val="a6"/>
        <w:numPr>
          <w:ilvl w:val="0"/>
          <w:numId w:val="8"/>
        </w:numPr>
        <w:spacing w:after="0" w:line="264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7EB1">
        <w:rPr>
          <w:rFonts w:ascii="Times New Roman" w:hAnsi="Times New Roman" w:cs="Times New Roman"/>
          <w:color w:val="000000"/>
          <w:sz w:val="28"/>
          <w:szCs w:val="28"/>
        </w:rPr>
        <w:t xml:space="preserve">никогда – 6%. </w:t>
      </w:r>
    </w:p>
    <w:p w:rsidR="00C57EB1" w:rsidRDefault="00C57EB1" w:rsidP="00892DED">
      <w:pPr>
        <w:spacing w:after="0" w:line="26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516F8" w:rsidRDefault="006A3EFF" w:rsidP="0003016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Доля торговых сетей </w:t>
      </w:r>
      <w:r w:rsidR="00452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целом </w:t>
      </w:r>
      <w:r w:rsidRPr="00520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E516F8" w:rsidRPr="00520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продуктовой </w:t>
      </w:r>
      <w:r w:rsidRPr="00520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рознице возросла за последние три года с </w:t>
      </w:r>
      <w:r w:rsidR="00E516F8" w:rsidRPr="00520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37,2% </w:t>
      </w:r>
      <w:r w:rsidRPr="00520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E516F8" w:rsidRPr="0052000E">
        <w:rPr>
          <w:rFonts w:ascii="Times New Roman" w:hAnsi="Times New Roman" w:cs="Times New Roman"/>
          <w:b/>
          <w:color w:val="000000"/>
          <w:sz w:val="28"/>
          <w:szCs w:val="28"/>
        </w:rPr>
        <w:t>44,2 %</w:t>
      </w:r>
      <w:r w:rsidR="00E516F8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 России</w:t>
      </w:r>
      <w:r w:rsidR="0024082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достигнув максимума</w:t>
      </w:r>
      <w:r w:rsidR="00E516F8">
        <w:rPr>
          <w:rFonts w:ascii="Times New Roman" w:hAnsi="Times New Roman" w:cs="Times New Roman"/>
          <w:color w:val="000000"/>
          <w:sz w:val="28"/>
          <w:szCs w:val="28"/>
        </w:rPr>
        <w:t xml:space="preserve"> в:</w:t>
      </w:r>
    </w:p>
    <w:p w:rsidR="00E516F8" w:rsidRPr="00E516F8" w:rsidRDefault="00E516F8" w:rsidP="00E516F8">
      <w:pPr>
        <w:pStyle w:val="a6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6F8">
        <w:rPr>
          <w:rFonts w:ascii="Times New Roman" w:hAnsi="Times New Roman" w:cs="Times New Roman"/>
          <w:color w:val="000000"/>
          <w:sz w:val="28"/>
          <w:szCs w:val="28"/>
        </w:rPr>
        <w:t>г. Санкт-</w:t>
      </w:r>
      <w:proofErr w:type="spellStart"/>
      <w:r w:rsidRPr="00E516F8">
        <w:rPr>
          <w:rFonts w:ascii="Times New Roman" w:hAnsi="Times New Roman" w:cs="Times New Roman"/>
          <w:color w:val="000000"/>
          <w:sz w:val="28"/>
          <w:szCs w:val="28"/>
        </w:rPr>
        <w:t>Петребург</w:t>
      </w:r>
      <w:r w:rsidR="00C57EB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6A3EFF" w:rsidRPr="00E51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6F8">
        <w:rPr>
          <w:rFonts w:ascii="Times New Roman" w:hAnsi="Times New Roman" w:cs="Times New Roman"/>
          <w:color w:val="000000"/>
          <w:sz w:val="28"/>
          <w:szCs w:val="28"/>
        </w:rPr>
        <w:t xml:space="preserve">– 81,0%;  </w:t>
      </w:r>
    </w:p>
    <w:p w:rsidR="00E516F8" w:rsidRPr="00E516F8" w:rsidRDefault="00E516F8" w:rsidP="00E516F8">
      <w:pPr>
        <w:pStyle w:val="a6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6F8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– 73,3%; </w:t>
      </w:r>
    </w:p>
    <w:p w:rsidR="00E516F8" w:rsidRPr="00E516F8" w:rsidRDefault="00E516F8" w:rsidP="00E516F8">
      <w:pPr>
        <w:pStyle w:val="a6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6F8">
        <w:rPr>
          <w:rFonts w:ascii="Times New Roman" w:hAnsi="Times New Roman" w:cs="Times New Roman"/>
          <w:color w:val="000000"/>
          <w:sz w:val="28"/>
          <w:szCs w:val="28"/>
        </w:rPr>
        <w:t>Московской области – 66,1%;</w:t>
      </w:r>
    </w:p>
    <w:p w:rsidR="00E516F8" w:rsidRPr="00E516F8" w:rsidRDefault="00E516F8" w:rsidP="00E516F8">
      <w:pPr>
        <w:pStyle w:val="a6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6F8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Кемеровской области – 65,8%; </w:t>
      </w:r>
    </w:p>
    <w:p w:rsidR="000F5ED3" w:rsidRPr="00E516F8" w:rsidRDefault="00E516F8" w:rsidP="00E516F8">
      <w:pPr>
        <w:pStyle w:val="a6"/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6F8">
        <w:rPr>
          <w:rFonts w:ascii="Times New Roman" w:hAnsi="Times New Roman" w:cs="Times New Roman"/>
          <w:color w:val="000000"/>
          <w:sz w:val="28"/>
          <w:szCs w:val="28"/>
        </w:rPr>
        <w:t xml:space="preserve">Калужской области </w:t>
      </w:r>
      <w:r w:rsidR="00C57E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516F8">
        <w:rPr>
          <w:rFonts w:ascii="Times New Roman" w:hAnsi="Times New Roman" w:cs="Times New Roman"/>
          <w:color w:val="000000"/>
          <w:sz w:val="28"/>
          <w:szCs w:val="28"/>
        </w:rPr>
        <w:t xml:space="preserve">62,8%. </w:t>
      </w:r>
    </w:p>
    <w:p w:rsidR="00C57EB1" w:rsidRDefault="00C57EB1" w:rsidP="00C57E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B1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доля федеральных сетей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мониторинга </w:t>
      </w:r>
      <w:r w:rsidRPr="00C57EB1">
        <w:rPr>
          <w:rFonts w:ascii="Times New Roman" w:hAnsi="Times New Roman" w:cs="Times New Roman"/>
          <w:sz w:val="28"/>
          <w:szCs w:val="28"/>
        </w:rPr>
        <w:t>ФАС</w:t>
      </w:r>
      <w:r w:rsidR="002408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57EB1">
        <w:rPr>
          <w:rFonts w:ascii="Times New Roman" w:hAnsi="Times New Roman" w:cs="Times New Roman"/>
          <w:sz w:val="28"/>
          <w:szCs w:val="28"/>
        </w:rPr>
        <w:t>определяет путем деления данных о выручке (полученных от</w:t>
      </w:r>
      <w:r w:rsidR="00700DB9">
        <w:rPr>
          <w:rFonts w:ascii="Times New Roman" w:hAnsi="Times New Roman" w:cs="Times New Roman"/>
          <w:sz w:val="28"/>
          <w:szCs w:val="28"/>
        </w:rPr>
        <w:t> </w:t>
      </w:r>
      <w:r w:rsidRPr="00C57EB1">
        <w:rPr>
          <w:rFonts w:ascii="Times New Roman" w:hAnsi="Times New Roman" w:cs="Times New Roman"/>
          <w:sz w:val="28"/>
          <w:szCs w:val="28"/>
        </w:rPr>
        <w:t xml:space="preserve">самой сети) на общий объем рынка в пределах каждого муниципального образования, рассчитываемый региональной службой статистики. При подсчете берутся данные от организаций крупного бизнеса (предоставляют данные ежеквартально) и </w:t>
      </w:r>
      <w:r w:rsidR="0052000E">
        <w:rPr>
          <w:rFonts w:ascii="Times New Roman" w:hAnsi="Times New Roman" w:cs="Times New Roman"/>
          <w:sz w:val="28"/>
          <w:szCs w:val="28"/>
        </w:rPr>
        <w:t xml:space="preserve">статистическим </w:t>
      </w:r>
      <w:r w:rsidRPr="00C57EB1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03016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C57E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EB1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="00030164">
        <w:rPr>
          <w:rFonts w:ascii="Times New Roman" w:hAnsi="Times New Roman" w:cs="Times New Roman"/>
          <w:sz w:val="28"/>
          <w:szCs w:val="28"/>
        </w:rPr>
        <w:t>» оборотов малого</w:t>
      </w:r>
      <w:r w:rsidRPr="00C57EB1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030164">
        <w:rPr>
          <w:rFonts w:ascii="Times New Roman" w:hAnsi="Times New Roman" w:cs="Times New Roman"/>
          <w:sz w:val="28"/>
          <w:szCs w:val="28"/>
        </w:rPr>
        <w:t>а</w:t>
      </w:r>
      <w:r w:rsidRPr="00C57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EB1" w:rsidRDefault="00030164" w:rsidP="00C57E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57EB1" w:rsidRPr="00C201E4">
        <w:rPr>
          <w:rFonts w:ascii="Times New Roman" w:hAnsi="Times New Roman" w:cs="Times New Roman"/>
          <w:b/>
          <w:sz w:val="28"/>
          <w:szCs w:val="28"/>
        </w:rPr>
        <w:t>апример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57EB1" w:rsidRPr="00C201E4">
        <w:rPr>
          <w:rFonts w:ascii="Times New Roman" w:hAnsi="Times New Roman" w:cs="Times New Roman"/>
          <w:b/>
          <w:sz w:val="28"/>
          <w:szCs w:val="28"/>
        </w:rPr>
        <w:t xml:space="preserve"> во Владимирской области</w:t>
      </w:r>
      <w:r w:rsidR="00C57EB1">
        <w:rPr>
          <w:rFonts w:ascii="Times New Roman" w:hAnsi="Times New Roman" w:cs="Times New Roman"/>
          <w:sz w:val="28"/>
          <w:szCs w:val="28"/>
        </w:rPr>
        <w:t xml:space="preserve"> </w:t>
      </w:r>
      <w:r w:rsidR="00C57EB1" w:rsidRPr="00C57EB1">
        <w:rPr>
          <w:rFonts w:ascii="Times New Roman" w:hAnsi="Times New Roman" w:cs="Times New Roman"/>
          <w:sz w:val="28"/>
          <w:szCs w:val="28"/>
        </w:rPr>
        <w:t xml:space="preserve">доля торговых площадей сети Магнит составляет 35% от всех торговых площадей и, при этом, </w:t>
      </w:r>
      <w:r w:rsidR="00C57EB1">
        <w:rPr>
          <w:rFonts w:ascii="Times New Roman" w:hAnsi="Times New Roman" w:cs="Times New Roman"/>
          <w:sz w:val="28"/>
          <w:szCs w:val="28"/>
        </w:rPr>
        <w:t>ФАС</w:t>
      </w:r>
      <w:r w:rsidR="00C57EB1" w:rsidRPr="00C57EB1">
        <w:rPr>
          <w:rFonts w:ascii="Times New Roman" w:hAnsi="Times New Roman" w:cs="Times New Roman"/>
          <w:sz w:val="28"/>
          <w:szCs w:val="28"/>
        </w:rPr>
        <w:t xml:space="preserve"> определяет долю </w:t>
      </w:r>
      <w:r w:rsidR="0052000E">
        <w:rPr>
          <w:rFonts w:ascii="Times New Roman" w:hAnsi="Times New Roman" w:cs="Times New Roman"/>
          <w:sz w:val="28"/>
          <w:szCs w:val="28"/>
        </w:rPr>
        <w:t xml:space="preserve">по обороту, представленному органами статистики </w:t>
      </w:r>
      <w:r w:rsidR="00C57EB1" w:rsidRPr="00C57EB1">
        <w:rPr>
          <w:rFonts w:ascii="Times New Roman" w:hAnsi="Times New Roman" w:cs="Times New Roman"/>
          <w:sz w:val="28"/>
          <w:szCs w:val="28"/>
        </w:rPr>
        <w:t xml:space="preserve">этой сети в размере 14,2%. </w:t>
      </w:r>
    </w:p>
    <w:p w:rsidR="00E516F8" w:rsidRDefault="00C57EB1" w:rsidP="00C57E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B1">
        <w:rPr>
          <w:rFonts w:ascii="Times New Roman" w:hAnsi="Times New Roman" w:cs="Times New Roman"/>
          <w:sz w:val="28"/>
          <w:szCs w:val="28"/>
        </w:rPr>
        <w:t xml:space="preserve">Общеизвестно, что 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Pr="00C57EB1">
        <w:rPr>
          <w:rFonts w:ascii="Times New Roman" w:hAnsi="Times New Roman" w:cs="Times New Roman"/>
          <w:sz w:val="28"/>
          <w:szCs w:val="28"/>
        </w:rPr>
        <w:t xml:space="preserve"> сети сравнивают друг друг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C57EB1">
        <w:rPr>
          <w:rFonts w:ascii="Times New Roman" w:hAnsi="Times New Roman" w:cs="Times New Roman"/>
          <w:sz w:val="28"/>
          <w:szCs w:val="28"/>
        </w:rPr>
        <w:t xml:space="preserve"> показателем выручки на кв</w:t>
      </w:r>
      <w:r w:rsidR="0052000E">
        <w:rPr>
          <w:rFonts w:ascii="Times New Roman" w:hAnsi="Times New Roman" w:cs="Times New Roman"/>
          <w:sz w:val="28"/>
          <w:szCs w:val="28"/>
        </w:rPr>
        <w:t xml:space="preserve">адратный </w:t>
      </w:r>
      <w:r w:rsidRPr="00C57EB1">
        <w:rPr>
          <w:rFonts w:ascii="Times New Roman" w:hAnsi="Times New Roman" w:cs="Times New Roman"/>
          <w:sz w:val="28"/>
          <w:szCs w:val="28"/>
        </w:rPr>
        <w:t>м</w:t>
      </w:r>
      <w:r w:rsidR="0052000E">
        <w:rPr>
          <w:rFonts w:ascii="Times New Roman" w:hAnsi="Times New Roman" w:cs="Times New Roman"/>
          <w:sz w:val="28"/>
          <w:szCs w:val="28"/>
        </w:rPr>
        <w:t>етр торговой площади,</w:t>
      </w:r>
      <w:r w:rsidRPr="00C57EB1">
        <w:rPr>
          <w:rFonts w:ascii="Times New Roman" w:hAnsi="Times New Roman" w:cs="Times New Roman"/>
          <w:sz w:val="28"/>
          <w:szCs w:val="28"/>
        </w:rPr>
        <w:t xml:space="preserve"> </w:t>
      </w:r>
      <w:r w:rsidR="00C201E4">
        <w:rPr>
          <w:rFonts w:ascii="Times New Roman" w:hAnsi="Times New Roman" w:cs="Times New Roman"/>
          <w:sz w:val="28"/>
          <w:szCs w:val="28"/>
        </w:rPr>
        <w:t>поскольку</w:t>
      </w:r>
      <w:r w:rsidRPr="00C57EB1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201E4">
        <w:rPr>
          <w:rFonts w:ascii="Times New Roman" w:hAnsi="Times New Roman" w:cs="Times New Roman"/>
          <w:sz w:val="28"/>
          <w:szCs w:val="28"/>
        </w:rPr>
        <w:t>прямая зависимость</w:t>
      </w:r>
      <w:r w:rsidRPr="00C57EB1">
        <w:rPr>
          <w:rFonts w:ascii="Times New Roman" w:hAnsi="Times New Roman" w:cs="Times New Roman"/>
          <w:sz w:val="28"/>
          <w:szCs w:val="28"/>
        </w:rPr>
        <w:t xml:space="preserve"> между занимаемой сетью долей рынка и занимаемой ей площадями. </w:t>
      </w:r>
      <w:r w:rsidRPr="00456E78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несовершенный механизм измерения доли рынка скрывает истинные масштабы монополизации рынка.</w:t>
      </w:r>
    </w:p>
    <w:p w:rsidR="00767745" w:rsidRDefault="00767745" w:rsidP="00892DED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5F1B" w:rsidRPr="00184943" w:rsidRDefault="00DC5F1B" w:rsidP="00184943">
      <w:pPr>
        <w:pStyle w:val="a6"/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494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Проблематика</w:t>
      </w:r>
    </w:p>
    <w:p w:rsidR="0052000E" w:rsidRPr="0052000E" w:rsidRDefault="0052000E" w:rsidP="00C57EB1">
      <w:pPr>
        <w:pStyle w:val="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2000E">
        <w:rPr>
          <w:color w:val="000000"/>
          <w:sz w:val="28"/>
          <w:szCs w:val="28"/>
        </w:rPr>
        <w:t>Региональные сети</w:t>
      </w:r>
    </w:p>
    <w:p w:rsidR="00C27134" w:rsidRDefault="00245CFB" w:rsidP="00C57EB1">
      <w:pPr>
        <w:pStyle w:val="3"/>
        <w:spacing w:before="0" w:beforeAutospacing="0" w:after="0" w:afterAutospacing="0" w:line="264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45CFB">
        <w:rPr>
          <w:b w:val="0"/>
          <w:color w:val="000000"/>
          <w:sz w:val="28"/>
          <w:szCs w:val="28"/>
        </w:rPr>
        <w:t xml:space="preserve">За последние 3 года с рынка ушло около 150 торговых сетей. </w:t>
      </w:r>
      <w:r w:rsidR="00C57EB1">
        <w:rPr>
          <w:b w:val="0"/>
          <w:color w:val="000000"/>
          <w:sz w:val="28"/>
          <w:szCs w:val="28"/>
        </w:rPr>
        <w:t>Например</w:t>
      </w:r>
      <w:r w:rsidRPr="00245CFB">
        <w:rPr>
          <w:b w:val="0"/>
          <w:color w:val="000000"/>
          <w:sz w:val="28"/>
          <w:szCs w:val="28"/>
        </w:rPr>
        <w:t xml:space="preserve">, </w:t>
      </w:r>
      <w:r w:rsidR="00C57EB1">
        <w:rPr>
          <w:b w:val="0"/>
          <w:color w:val="000000"/>
          <w:sz w:val="28"/>
          <w:szCs w:val="28"/>
        </w:rPr>
        <w:t xml:space="preserve">компания </w:t>
      </w:r>
      <w:r w:rsidRPr="00245CFB">
        <w:rPr>
          <w:b w:val="0"/>
          <w:color w:val="000000"/>
          <w:sz w:val="28"/>
          <w:szCs w:val="28"/>
        </w:rPr>
        <w:t>«</w:t>
      </w:r>
      <w:proofErr w:type="spellStart"/>
      <w:r w:rsidRPr="00245CFB">
        <w:rPr>
          <w:b w:val="0"/>
          <w:color w:val="000000"/>
          <w:sz w:val="28"/>
          <w:szCs w:val="28"/>
        </w:rPr>
        <w:t>Интерторг</w:t>
      </w:r>
      <w:proofErr w:type="spellEnd"/>
      <w:r w:rsidRPr="00245CFB">
        <w:rPr>
          <w:b w:val="0"/>
          <w:color w:val="000000"/>
          <w:sz w:val="28"/>
          <w:szCs w:val="28"/>
        </w:rPr>
        <w:t>», заверши</w:t>
      </w:r>
      <w:r w:rsidR="0052000E">
        <w:rPr>
          <w:b w:val="0"/>
          <w:color w:val="000000"/>
          <w:sz w:val="28"/>
          <w:szCs w:val="28"/>
        </w:rPr>
        <w:t>ла</w:t>
      </w:r>
      <w:r w:rsidRPr="00245CFB">
        <w:rPr>
          <w:b w:val="0"/>
          <w:color w:val="000000"/>
          <w:sz w:val="28"/>
          <w:szCs w:val="28"/>
        </w:rPr>
        <w:t xml:space="preserve"> работу в </w:t>
      </w:r>
      <w:r w:rsidR="00C57EB1">
        <w:rPr>
          <w:b w:val="0"/>
          <w:color w:val="000000"/>
          <w:sz w:val="28"/>
          <w:szCs w:val="28"/>
        </w:rPr>
        <w:t>Северо-Западном Фе</w:t>
      </w:r>
      <w:r w:rsidR="0052000E">
        <w:rPr>
          <w:b w:val="0"/>
          <w:color w:val="000000"/>
          <w:sz w:val="28"/>
          <w:szCs w:val="28"/>
        </w:rPr>
        <w:t>де</w:t>
      </w:r>
      <w:r w:rsidR="00C57EB1">
        <w:rPr>
          <w:b w:val="0"/>
          <w:color w:val="000000"/>
          <w:sz w:val="28"/>
          <w:szCs w:val="28"/>
        </w:rPr>
        <w:t xml:space="preserve">ральном округе. </w:t>
      </w:r>
      <w:r w:rsidRPr="00245CFB">
        <w:rPr>
          <w:b w:val="0"/>
          <w:color w:val="000000"/>
          <w:sz w:val="28"/>
          <w:szCs w:val="28"/>
        </w:rPr>
        <w:t xml:space="preserve">На пике развития у </w:t>
      </w:r>
      <w:r w:rsidR="00C57EB1">
        <w:rPr>
          <w:b w:val="0"/>
          <w:color w:val="000000"/>
          <w:sz w:val="28"/>
          <w:szCs w:val="28"/>
        </w:rPr>
        <w:t>сети</w:t>
      </w:r>
      <w:r w:rsidRPr="00245CFB">
        <w:rPr>
          <w:b w:val="0"/>
          <w:color w:val="000000"/>
          <w:sz w:val="28"/>
          <w:szCs w:val="28"/>
        </w:rPr>
        <w:t xml:space="preserve"> было 700 магазинов (</w:t>
      </w:r>
      <w:proofErr w:type="spellStart"/>
      <w:r w:rsidRPr="00245CFB">
        <w:rPr>
          <w:b w:val="0"/>
          <w:color w:val="000000"/>
          <w:sz w:val="28"/>
          <w:szCs w:val="28"/>
        </w:rPr>
        <w:t>Spar</w:t>
      </w:r>
      <w:proofErr w:type="spellEnd"/>
      <w:r w:rsidRPr="00245CFB">
        <w:rPr>
          <w:b w:val="0"/>
          <w:color w:val="000000"/>
          <w:sz w:val="28"/>
          <w:szCs w:val="28"/>
        </w:rPr>
        <w:t xml:space="preserve"> по франшизе и «7Я </w:t>
      </w:r>
      <w:proofErr w:type="spellStart"/>
      <w:r w:rsidRPr="00245CFB">
        <w:rPr>
          <w:b w:val="0"/>
          <w:color w:val="000000"/>
          <w:sz w:val="28"/>
          <w:szCs w:val="28"/>
        </w:rPr>
        <w:t>СемьЯ</w:t>
      </w:r>
      <w:proofErr w:type="spellEnd"/>
      <w:r w:rsidRPr="00245CFB">
        <w:rPr>
          <w:b w:val="0"/>
          <w:color w:val="000000"/>
          <w:sz w:val="28"/>
          <w:szCs w:val="28"/>
        </w:rPr>
        <w:t xml:space="preserve">»), к моменту закрытия </w:t>
      </w:r>
      <w:r w:rsidR="00C57EB1">
        <w:rPr>
          <w:b w:val="0"/>
          <w:color w:val="000000"/>
          <w:sz w:val="28"/>
          <w:szCs w:val="28"/>
        </w:rPr>
        <w:t>–</w:t>
      </w:r>
      <w:r w:rsidRPr="00245CFB">
        <w:rPr>
          <w:b w:val="0"/>
          <w:color w:val="000000"/>
          <w:sz w:val="28"/>
          <w:szCs w:val="28"/>
        </w:rPr>
        <w:t xml:space="preserve"> 480 с оборотом 74 млрд рублей. </w:t>
      </w:r>
      <w:r w:rsidR="00C57EB1">
        <w:rPr>
          <w:b w:val="0"/>
          <w:color w:val="000000"/>
          <w:sz w:val="28"/>
          <w:szCs w:val="28"/>
        </w:rPr>
        <w:t>В</w:t>
      </w:r>
      <w:r w:rsidRPr="00245CFB">
        <w:rPr>
          <w:b w:val="0"/>
          <w:color w:val="000000"/>
          <w:sz w:val="28"/>
          <w:szCs w:val="28"/>
        </w:rPr>
        <w:t xml:space="preserve"> </w:t>
      </w:r>
      <w:r w:rsidR="00C57EB1">
        <w:rPr>
          <w:b w:val="0"/>
          <w:color w:val="000000"/>
          <w:sz w:val="28"/>
          <w:szCs w:val="28"/>
        </w:rPr>
        <w:t>Санкт-</w:t>
      </w:r>
      <w:r w:rsidRPr="00245CFB">
        <w:rPr>
          <w:b w:val="0"/>
          <w:color w:val="000000"/>
          <w:sz w:val="28"/>
          <w:szCs w:val="28"/>
        </w:rPr>
        <w:t>Петербурге и Лен</w:t>
      </w:r>
      <w:r w:rsidR="00C57EB1">
        <w:rPr>
          <w:b w:val="0"/>
          <w:color w:val="000000"/>
          <w:sz w:val="28"/>
          <w:szCs w:val="28"/>
        </w:rPr>
        <w:t xml:space="preserve">инградской </w:t>
      </w:r>
      <w:r w:rsidRPr="00245CFB">
        <w:rPr>
          <w:b w:val="0"/>
          <w:color w:val="000000"/>
          <w:sz w:val="28"/>
          <w:szCs w:val="28"/>
        </w:rPr>
        <w:t>области закрыли свои последние объекты сети «Полушка» и «Лайм» (всего было около 140 торговых точек с оборотом 15 млрд рублей).</w:t>
      </w:r>
    </w:p>
    <w:p w:rsidR="00C57EB1" w:rsidRDefault="00030164" w:rsidP="00C57EB1">
      <w:pPr>
        <w:pStyle w:val="3"/>
        <w:spacing w:before="0" w:beforeAutospacing="0" w:after="0" w:afterAutospacing="0" w:line="264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Многие региональные сети</w:t>
      </w:r>
      <w:r w:rsidR="00C57EB1" w:rsidRPr="00C57EB1">
        <w:rPr>
          <w:b w:val="0"/>
          <w:color w:val="000000"/>
          <w:sz w:val="28"/>
          <w:szCs w:val="28"/>
        </w:rPr>
        <w:t xml:space="preserve"> также активно сокращают число магазинов: в Удмуртии за год сети </w:t>
      </w:r>
      <w:proofErr w:type="spellStart"/>
      <w:r w:rsidR="00C57EB1" w:rsidRPr="00C57EB1">
        <w:rPr>
          <w:b w:val="0"/>
          <w:color w:val="000000"/>
          <w:sz w:val="28"/>
          <w:szCs w:val="28"/>
        </w:rPr>
        <w:t>Spar</w:t>
      </w:r>
      <w:proofErr w:type="spellEnd"/>
      <w:r w:rsidR="00C57EB1" w:rsidRPr="00C57EB1">
        <w:rPr>
          <w:b w:val="0"/>
          <w:color w:val="000000"/>
          <w:sz w:val="28"/>
          <w:szCs w:val="28"/>
        </w:rPr>
        <w:t xml:space="preserve"> и «</w:t>
      </w:r>
      <w:proofErr w:type="spellStart"/>
      <w:r w:rsidR="00C57EB1" w:rsidRPr="00C57EB1">
        <w:rPr>
          <w:b w:val="0"/>
          <w:color w:val="000000"/>
          <w:sz w:val="28"/>
          <w:szCs w:val="28"/>
        </w:rPr>
        <w:t>Ижтреклинг</w:t>
      </w:r>
      <w:proofErr w:type="spellEnd"/>
      <w:r w:rsidR="00C57EB1" w:rsidRPr="00C57EB1">
        <w:rPr>
          <w:b w:val="0"/>
          <w:color w:val="000000"/>
          <w:sz w:val="28"/>
          <w:szCs w:val="28"/>
        </w:rPr>
        <w:t>» закрыли около 90 торговых точек с оборотом 10 млрд рублей, а в Татарстане сети «Эссен» и «Камилла» закрыли 140 магазинов с оборотом 14 млрд рублей.</w:t>
      </w:r>
    </w:p>
    <w:p w:rsidR="00456E78" w:rsidRPr="00245CFB" w:rsidRDefault="00456E78" w:rsidP="00C57EB1">
      <w:pPr>
        <w:pStyle w:val="3"/>
        <w:spacing w:before="0" w:beforeAutospacing="0" w:after="0" w:afterAutospacing="0" w:line="264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C57EB1" w:rsidRPr="00456E78" w:rsidRDefault="0052000E" w:rsidP="003C586C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56E78">
        <w:rPr>
          <w:rFonts w:ascii="Times New Roman" w:hAnsi="Times New Roman" w:cs="Times New Roman"/>
          <w:b/>
          <w:sz w:val="32"/>
          <w:szCs w:val="28"/>
        </w:rPr>
        <w:t>Ценовая дискриминация</w:t>
      </w:r>
      <w:r w:rsidR="00456E78" w:rsidRPr="00456E78">
        <w:rPr>
          <w:rFonts w:ascii="Times New Roman" w:hAnsi="Times New Roman" w:cs="Times New Roman"/>
          <w:b/>
          <w:sz w:val="32"/>
          <w:szCs w:val="28"/>
        </w:rPr>
        <w:t xml:space="preserve"> в пользу крупных сетей, снижающая конкуренцию на розничных рынках.</w:t>
      </w:r>
    </w:p>
    <w:p w:rsidR="003C586C" w:rsidRPr="00456E78" w:rsidRDefault="003C586C" w:rsidP="00513B90">
      <w:pPr>
        <w:pStyle w:val="a6"/>
        <w:numPr>
          <w:ilvl w:val="0"/>
          <w:numId w:val="34"/>
        </w:numPr>
        <w:spacing w:after="0" w:line="264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56E78" w:rsidRPr="00456E78">
        <w:rPr>
          <w:rFonts w:ascii="Times New Roman" w:hAnsi="Times New Roman" w:cs="Times New Roman"/>
          <w:b/>
          <w:sz w:val="28"/>
          <w:szCs w:val="28"/>
        </w:rPr>
        <w:t xml:space="preserve">производителями </w:t>
      </w:r>
      <w:r w:rsidRPr="00456E78">
        <w:rPr>
          <w:rFonts w:ascii="Times New Roman" w:hAnsi="Times New Roman" w:cs="Times New Roman"/>
          <w:b/>
          <w:sz w:val="28"/>
          <w:szCs w:val="28"/>
        </w:rPr>
        <w:t>устанавливается</w:t>
      </w:r>
      <w:r w:rsidRPr="00456E78">
        <w:rPr>
          <w:rFonts w:ascii="Times New Roman" w:hAnsi="Times New Roman" w:cs="Times New Roman"/>
          <w:sz w:val="28"/>
          <w:szCs w:val="28"/>
        </w:rPr>
        <w:t xml:space="preserve"> </w:t>
      </w:r>
      <w:r w:rsidRPr="00456E78">
        <w:rPr>
          <w:rFonts w:ascii="Times New Roman" w:hAnsi="Times New Roman" w:cs="Times New Roman"/>
          <w:b/>
          <w:sz w:val="28"/>
          <w:szCs w:val="28"/>
        </w:rPr>
        <w:t>максимальная розничная цена на каждый вид сигарет</w:t>
      </w:r>
      <w:r w:rsidRPr="00456E78">
        <w:rPr>
          <w:rFonts w:ascii="Times New Roman" w:hAnsi="Times New Roman" w:cs="Times New Roman"/>
          <w:sz w:val="28"/>
          <w:szCs w:val="28"/>
        </w:rPr>
        <w:t xml:space="preserve">. </w:t>
      </w:r>
      <w:r w:rsidR="006A3EFF" w:rsidRPr="00456E78">
        <w:rPr>
          <w:rFonts w:ascii="Times New Roman" w:hAnsi="Times New Roman" w:cs="Times New Roman"/>
          <w:sz w:val="28"/>
          <w:szCs w:val="28"/>
        </w:rPr>
        <w:t xml:space="preserve"> </w:t>
      </w:r>
      <w:r w:rsidRPr="00456E7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56E78" w:rsidRPr="00456E78">
        <w:rPr>
          <w:rFonts w:ascii="Times New Roman" w:hAnsi="Times New Roman" w:cs="Times New Roman"/>
          <w:sz w:val="28"/>
          <w:szCs w:val="28"/>
        </w:rPr>
        <w:t xml:space="preserve">по мнению экспертов ТПП РФ, </w:t>
      </w:r>
      <w:r w:rsidRPr="00456E78">
        <w:rPr>
          <w:rFonts w:ascii="Times New Roman" w:hAnsi="Times New Roman" w:cs="Times New Roman"/>
          <w:sz w:val="28"/>
          <w:szCs w:val="28"/>
        </w:rPr>
        <w:t>у</w:t>
      </w:r>
      <w:r w:rsidR="006A3EFF" w:rsidRPr="00456E78">
        <w:rPr>
          <w:rFonts w:ascii="Times New Roman" w:hAnsi="Times New Roman" w:cs="Times New Roman"/>
          <w:sz w:val="28"/>
          <w:szCs w:val="28"/>
        </w:rPr>
        <w:t>законен диктат розничной цены на табачные изделия со стороны одних предпринимателей для других предпринимателей</w:t>
      </w:r>
      <w:r w:rsidR="00F316DD" w:rsidRPr="00456E78">
        <w:rPr>
          <w:rFonts w:ascii="Times New Roman" w:hAnsi="Times New Roman" w:cs="Times New Roman"/>
          <w:sz w:val="28"/>
          <w:szCs w:val="28"/>
        </w:rPr>
        <w:t>.</w:t>
      </w:r>
    </w:p>
    <w:p w:rsidR="006A3EFF" w:rsidRPr="003C586C" w:rsidRDefault="00456E78" w:rsidP="003C586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считают, что р</w:t>
      </w:r>
      <w:r w:rsidR="006A3EFF" w:rsidRPr="003C586C">
        <w:rPr>
          <w:rFonts w:ascii="Times New Roman" w:hAnsi="Times New Roman" w:cs="Times New Roman"/>
          <w:sz w:val="28"/>
          <w:szCs w:val="28"/>
        </w:rPr>
        <w:t>озничные цены должны устанавливаться рыночным методом. Производители, поставщики и ритейл должны делать наценку из своей экономической выгоды и разумности цен.</w:t>
      </w:r>
    </w:p>
    <w:p w:rsidR="006A3EFF" w:rsidRDefault="003C586C" w:rsidP="003C586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6C">
        <w:rPr>
          <w:rFonts w:ascii="Times New Roman" w:hAnsi="Times New Roman" w:cs="Times New Roman"/>
          <w:sz w:val="28"/>
          <w:szCs w:val="28"/>
        </w:rPr>
        <w:lastRenderedPageBreak/>
        <w:t>Предел р</w:t>
      </w:r>
      <w:r w:rsidR="006A3EFF" w:rsidRPr="003C586C">
        <w:rPr>
          <w:rFonts w:ascii="Times New Roman" w:hAnsi="Times New Roman" w:cs="Times New Roman"/>
          <w:sz w:val="28"/>
          <w:szCs w:val="28"/>
        </w:rPr>
        <w:t>озничн</w:t>
      </w:r>
      <w:r w:rsidR="00F316DD">
        <w:rPr>
          <w:rFonts w:ascii="Times New Roman" w:hAnsi="Times New Roman" w:cs="Times New Roman"/>
          <w:sz w:val="28"/>
          <w:szCs w:val="28"/>
        </w:rPr>
        <w:t>ой</w:t>
      </w:r>
      <w:r w:rsidR="006A3EFF" w:rsidRPr="003C586C">
        <w:rPr>
          <w:rFonts w:ascii="Times New Roman" w:hAnsi="Times New Roman" w:cs="Times New Roman"/>
          <w:sz w:val="28"/>
          <w:szCs w:val="28"/>
        </w:rPr>
        <w:t xml:space="preserve"> </w:t>
      </w:r>
      <w:r w:rsidRPr="003C586C">
        <w:rPr>
          <w:rFonts w:ascii="Times New Roman" w:hAnsi="Times New Roman" w:cs="Times New Roman"/>
          <w:sz w:val="28"/>
          <w:szCs w:val="28"/>
        </w:rPr>
        <w:t>наценка составляет</w:t>
      </w:r>
      <w:r w:rsidR="006A3EFF" w:rsidRPr="003C586C">
        <w:rPr>
          <w:rFonts w:ascii="Times New Roman" w:hAnsi="Times New Roman" w:cs="Times New Roman"/>
          <w:sz w:val="28"/>
          <w:szCs w:val="28"/>
        </w:rPr>
        <w:t xml:space="preserve"> 5 – 7% на табачные изделия</w:t>
      </w:r>
      <w:r w:rsidRPr="003C586C">
        <w:rPr>
          <w:rFonts w:ascii="Times New Roman" w:hAnsi="Times New Roman" w:cs="Times New Roman"/>
          <w:sz w:val="28"/>
          <w:szCs w:val="28"/>
        </w:rPr>
        <w:t xml:space="preserve"> для всех розничных магазинов</w:t>
      </w:r>
      <w:r w:rsidR="006A3EFF" w:rsidRPr="003C586C">
        <w:rPr>
          <w:rFonts w:ascii="Times New Roman" w:hAnsi="Times New Roman" w:cs="Times New Roman"/>
          <w:sz w:val="28"/>
          <w:szCs w:val="28"/>
        </w:rPr>
        <w:t xml:space="preserve">, </w:t>
      </w:r>
      <w:r w:rsidRPr="003C586C">
        <w:rPr>
          <w:rFonts w:ascii="Times New Roman" w:hAnsi="Times New Roman" w:cs="Times New Roman"/>
          <w:sz w:val="28"/>
          <w:szCs w:val="28"/>
        </w:rPr>
        <w:t>поэтому</w:t>
      </w:r>
      <w:r w:rsidR="006A3EFF" w:rsidRPr="003C586C">
        <w:rPr>
          <w:rFonts w:ascii="Times New Roman" w:hAnsi="Times New Roman" w:cs="Times New Roman"/>
          <w:sz w:val="28"/>
          <w:szCs w:val="28"/>
        </w:rPr>
        <w:t xml:space="preserve"> </w:t>
      </w:r>
      <w:r w:rsidRPr="003C586C">
        <w:rPr>
          <w:rFonts w:ascii="Times New Roman" w:hAnsi="Times New Roman" w:cs="Times New Roman"/>
          <w:sz w:val="28"/>
          <w:szCs w:val="28"/>
        </w:rPr>
        <w:t>н</w:t>
      </w:r>
      <w:r w:rsidR="006A3EFF" w:rsidRPr="003C586C">
        <w:rPr>
          <w:rFonts w:ascii="Times New Roman" w:hAnsi="Times New Roman" w:cs="Times New Roman"/>
          <w:sz w:val="28"/>
          <w:szCs w:val="28"/>
        </w:rPr>
        <w:t>екоторые магазины прекратили реализ</w:t>
      </w:r>
      <w:r w:rsidR="00456E78">
        <w:rPr>
          <w:rFonts w:ascii="Times New Roman" w:hAnsi="Times New Roman" w:cs="Times New Roman"/>
          <w:sz w:val="28"/>
          <w:szCs w:val="28"/>
        </w:rPr>
        <w:t>ацию табачной продукции, в связи с низкой рентабельностью продаж</w:t>
      </w:r>
      <w:r w:rsidR="006A3EFF" w:rsidRPr="003C5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FB" w:rsidRPr="00456E78" w:rsidRDefault="00E516F8" w:rsidP="00513B90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78">
        <w:rPr>
          <w:rFonts w:ascii="Times New Roman" w:hAnsi="Times New Roman" w:cs="Times New Roman"/>
          <w:b/>
          <w:sz w:val="28"/>
          <w:szCs w:val="28"/>
        </w:rPr>
        <w:t xml:space="preserve">Пошлина за выдачу </w:t>
      </w:r>
      <w:r w:rsidR="00245CFB" w:rsidRPr="00456E78">
        <w:rPr>
          <w:rFonts w:ascii="Times New Roman" w:hAnsi="Times New Roman" w:cs="Times New Roman"/>
          <w:b/>
          <w:sz w:val="28"/>
          <w:szCs w:val="28"/>
        </w:rPr>
        <w:t xml:space="preserve">(продление) </w:t>
      </w:r>
      <w:r w:rsidRPr="00456E78">
        <w:rPr>
          <w:rFonts w:ascii="Times New Roman" w:hAnsi="Times New Roman" w:cs="Times New Roman"/>
          <w:b/>
          <w:sz w:val="28"/>
          <w:szCs w:val="28"/>
        </w:rPr>
        <w:t xml:space="preserve">лицензии на продажу алкогольной продукции </w:t>
      </w:r>
      <w:r w:rsidR="00245CFB" w:rsidRPr="00456E78">
        <w:rPr>
          <w:rFonts w:ascii="Times New Roman" w:hAnsi="Times New Roman" w:cs="Times New Roman"/>
          <w:b/>
          <w:sz w:val="28"/>
          <w:szCs w:val="28"/>
        </w:rPr>
        <w:t>установлена</w:t>
      </w:r>
      <w:r w:rsidRPr="00456E78">
        <w:rPr>
          <w:rFonts w:ascii="Times New Roman" w:hAnsi="Times New Roman" w:cs="Times New Roman"/>
          <w:b/>
          <w:sz w:val="28"/>
          <w:szCs w:val="28"/>
        </w:rPr>
        <w:t xml:space="preserve"> как фиксированная сумма</w:t>
      </w:r>
      <w:r w:rsidRPr="00456E78">
        <w:rPr>
          <w:rFonts w:ascii="Times New Roman" w:hAnsi="Times New Roman" w:cs="Times New Roman"/>
          <w:sz w:val="28"/>
          <w:szCs w:val="28"/>
        </w:rPr>
        <w:t xml:space="preserve"> </w:t>
      </w:r>
      <w:r w:rsidR="00245CFB" w:rsidRPr="00456E78">
        <w:rPr>
          <w:rFonts w:ascii="Times New Roman" w:hAnsi="Times New Roman" w:cs="Times New Roman"/>
          <w:b/>
          <w:sz w:val="28"/>
          <w:szCs w:val="28"/>
        </w:rPr>
        <w:t>для одного юридического лица</w:t>
      </w:r>
      <w:r w:rsidR="00245CFB" w:rsidRPr="00456E78">
        <w:rPr>
          <w:rFonts w:ascii="Times New Roman" w:hAnsi="Times New Roman" w:cs="Times New Roman"/>
          <w:sz w:val="28"/>
          <w:szCs w:val="28"/>
        </w:rPr>
        <w:t xml:space="preserve"> </w:t>
      </w:r>
      <w:r w:rsidR="00030164" w:rsidRPr="00456E78">
        <w:rPr>
          <w:rFonts w:ascii="Times New Roman" w:hAnsi="Times New Roman" w:cs="Times New Roman"/>
          <w:sz w:val="28"/>
          <w:szCs w:val="28"/>
        </w:rPr>
        <w:t>(</w:t>
      </w:r>
      <w:r w:rsidR="00245CFB" w:rsidRPr="00456E78">
        <w:rPr>
          <w:rFonts w:ascii="Times New Roman" w:hAnsi="Times New Roman" w:cs="Times New Roman"/>
          <w:sz w:val="28"/>
          <w:szCs w:val="28"/>
        </w:rPr>
        <w:t>составляет 65 тысяч рублей в год</w:t>
      </w:r>
      <w:r w:rsidR="00030164" w:rsidRPr="00456E78">
        <w:rPr>
          <w:rFonts w:ascii="Times New Roman" w:hAnsi="Times New Roman" w:cs="Times New Roman"/>
          <w:sz w:val="28"/>
          <w:szCs w:val="28"/>
        </w:rPr>
        <w:t>)</w:t>
      </w:r>
      <w:r w:rsidR="00245CFB" w:rsidRPr="00456E78">
        <w:rPr>
          <w:rFonts w:ascii="Times New Roman" w:hAnsi="Times New Roman" w:cs="Times New Roman"/>
          <w:sz w:val="28"/>
          <w:szCs w:val="28"/>
        </w:rPr>
        <w:t xml:space="preserve">. Она определяется вне зависимости от товарооборота, количества торговых точек, установленных контрольно-кассовых аппаратов или торговой площади. </w:t>
      </w:r>
    </w:p>
    <w:p w:rsidR="00DC5F1B" w:rsidRPr="00DC5F1B" w:rsidRDefault="00DC5F1B" w:rsidP="00892DED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5F1B" w:rsidRPr="00456E78" w:rsidRDefault="00DC5F1B" w:rsidP="00456E78">
      <w:pPr>
        <w:pStyle w:val="a6"/>
        <w:tabs>
          <w:tab w:val="left" w:pos="993"/>
        </w:tabs>
        <w:spacing w:after="0" w:line="264" w:lineRule="auto"/>
        <w:ind w:left="709"/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456E78">
        <w:rPr>
          <w:rFonts w:ascii="Times New Roman" w:hAnsi="Times New Roman" w:cs="Times New Roman"/>
          <w:b/>
          <w:bCs/>
          <w:sz w:val="32"/>
          <w:szCs w:val="28"/>
          <w:u w:val="single"/>
        </w:rPr>
        <w:t>Практи</w:t>
      </w:r>
      <w:r w:rsidR="00826584" w:rsidRPr="00456E78">
        <w:rPr>
          <w:rFonts w:ascii="Times New Roman" w:hAnsi="Times New Roman" w:cs="Times New Roman"/>
          <w:b/>
          <w:bCs/>
          <w:sz w:val="32"/>
          <w:szCs w:val="28"/>
          <w:u w:val="single"/>
        </w:rPr>
        <w:t>ка</w:t>
      </w:r>
      <w:r w:rsidRPr="00456E78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ФАС </w:t>
      </w:r>
      <w:r w:rsidR="00767745" w:rsidRPr="00456E78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России </w:t>
      </w:r>
    </w:p>
    <w:p w:rsidR="00767745" w:rsidRPr="00801E12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Санкт-Петербург</w:t>
      </w:r>
    </w:p>
    <w:p w:rsidR="00767745" w:rsidRPr="00801E12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Санкт-Петербургское УФАС России ежегодно проводит анализ доли торговых сетей (в %) на рынке розничной торговли продовольственными товарами в Петербурге. По итогам проведения анализа было установлено, что доля самой крупной компании X5 </w:t>
      </w:r>
      <w:proofErr w:type="spellStart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Retail</w:t>
      </w:r>
      <w:proofErr w:type="spellEnd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(Пятерочка, Перекресток, Карусель) выросла с 27,4% в 2019 году до 28,9% за 2020 год, в основном за счет «Пятерочки» и частично «Перекрестка».</w:t>
      </w:r>
    </w:p>
    <w:p w:rsidR="00767745" w:rsidRPr="00801E12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было установлено, что наращивание оборота торговой сети произошло без приращения площадей.</w:t>
      </w:r>
    </w:p>
    <w:p w:rsidR="00767745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Санкт-Петербургское УФАС России отмечает, что превышение торговой сетью двадцатипятипроцентной доли от объема всех реализованных продовольственных товаров в денежном выражении за предыдущий финансовый год в границах соответствующего административно-территориального образования само по себе не является нарушением антимонопольного законодательства и само по себе не влечет обязанности торговой сети принимать меры по ее снижению, в том числе, например, путем закрытия приобретенной или арендованной до такого повышения площади торговых объектов, расторжения договоров аренды, сокращения объема предлагаемых к реализации продовольственных товаров.</w:t>
      </w:r>
    </w:p>
    <w:p w:rsidR="00767745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Однако, в</w:t>
      </w: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соответствии с законодательством, теперь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ритейлеры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вправе приобретать или арендовать в границах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Петербурга</w:t>
      </w: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дополнительную площадь торговых объектов. Суд может признать такие сделки недействительными</w:t>
      </w:r>
    </w:p>
    <w:p w:rsidR="00767745" w:rsidRPr="00801E12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 область</w:t>
      </w:r>
    </w:p>
    <w:p w:rsidR="00767745" w:rsidRPr="00801E12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УФАС </w:t>
      </w:r>
      <w:r w:rsidR="000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Псковской области 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добиваться запрета открытия новых магазинов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«Пятёрочка» в Псковском районе. С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вязано это с превышением 25</w:t>
      </w:r>
      <w:r w:rsidR="0024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процентов доли объёма всех реализованных этой торговой сетью товаров в </w:t>
      </w:r>
      <w:proofErr w:type="gramStart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 Псковского</w:t>
      </w:r>
      <w:proofErr w:type="gramEnd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  </w:t>
      </w:r>
    </w:p>
    <w:p w:rsidR="00767745" w:rsidRPr="00801E12" w:rsidRDefault="00767745" w:rsidP="00892DED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жалобами на «Агроторг» в УФАС России по Псковской области обратились председатель совета Псковского </w:t>
      </w:r>
      <w:proofErr w:type="spellStart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облпотребсоюза</w:t>
      </w:r>
      <w:proofErr w:type="spellEnd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Тесля</w:t>
      </w:r>
      <w:proofErr w:type="spellEnd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главы районов и другие заинтересованные предприниматели. Так, федеральный закон «Об основах государственного регулирования торговой деятельности в Российской Федерации», а именно статья 14 ограничивает приобретение, аренду торговыми сетями, осуществляющими розничную торговлю продовольственными товарами, дополнительной площади торговых объектов. В случае превышения порога доли оборота в 25</w:t>
      </w:r>
      <w:r w:rsidR="0024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торговая сеть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объектов. Сделка, совершённая с нарушением этих требований, ничтожна.</w:t>
      </w:r>
    </w:p>
    <w:p w:rsidR="00767745" w:rsidRPr="00285D09" w:rsidRDefault="00767745" w:rsidP="00892DED">
      <w:pPr>
        <w:pStyle w:val="a3"/>
        <w:spacing w:before="0" w:beforeAutospacing="0" w:after="0" w:afterAutospacing="0"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85D09">
        <w:rPr>
          <w:b/>
          <w:color w:val="000000" w:themeColor="text1"/>
          <w:sz w:val="28"/>
          <w:szCs w:val="28"/>
        </w:rPr>
        <w:t>Курская область</w:t>
      </w:r>
    </w:p>
    <w:p w:rsidR="00767745" w:rsidRPr="00285D09" w:rsidRDefault="00767745" w:rsidP="00892DED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85D09">
        <w:rPr>
          <w:color w:val="000000" w:themeColor="text1"/>
          <w:sz w:val="28"/>
          <w:szCs w:val="28"/>
        </w:rPr>
        <w:t>В Курской области УФАС запретило открывать ряд магазинов крупных торговых сетей. Речь идет не в целом о регионе, а о ряде районов, где таких супермаркетов появилось слишком много.</w:t>
      </w:r>
    </w:p>
    <w:p w:rsidR="00767745" w:rsidRPr="00285D09" w:rsidRDefault="00767745" w:rsidP="00892DED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85D09">
        <w:rPr>
          <w:color w:val="000000" w:themeColor="text1"/>
          <w:sz w:val="28"/>
          <w:szCs w:val="28"/>
        </w:rPr>
        <w:t>Курское УФАС России каждый год анализирует информацию о долях торговых сетей, действующих в Курской области, подсчитывая при этом количество магазинов. И вот по результатам очередной проверки выяснилось, что в ряде муниципальных районов региона доли двух сетей превысили «порог», после которого открытие новых магазинов в данных муниципальных образованиях им запрещено.</w:t>
      </w:r>
    </w:p>
    <w:p w:rsidR="00767745" w:rsidRPr="00285D09" w:rsidRDefault="00767745" w:rsidP="00892DED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85D09">
        <w:rPr>
          <w:color w:val="000000" w:themeColor="text1"/>
          <w:sz w:val="28"/>
          <w:szCs w:val="28"/>
        </w:rPr>
        <w:t xml:space="preserve">Доля торговой сети «Магнит» в общем объеме всех реализованных продовольственных товаров превышает 25% в следующих районах Курской области: </w:t>
      </w:r>
      <w:proofErr w:type="spellStart"/>
      <w:r w:rsidRPr="00285D09">
        <w:rPr>
          <w:color w:val="000000" w:themeColor="text1"/>
          <w:sz w:val="28"/>
          <w:szCs w:val="28"/>
        </w:rPr>
        <w:t>Мантуровский</w:t>
      </w:r>
      <w:proofErr w:type="spellEnd"/>
      <w:r w:rsidRPr="00285D09">
        <w:rPr>
          <w:color w:val="000000" w:themeColor="text1"/>
          <w:sz w:val="28"/>
          <w:szCs w:val="28"/>
        </w:rPr>
        <w:t xml:space="preserve">, Курчатовский, </w:t>
      </w:r>
      <w:proofErr w:type="spellStart"/>
      <w:r w:rsidRPr="00285D09">
        <w:rPr>
          <w:color w:val="000000" w:themeColor="text1"/>
          <w:sz w:val="28"/>
          <w:szCs w:val="28"/>
        </w:rPr>
        <w:t>Пристенский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Черемисиновский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Большесолдатский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Глушковский</w:t>
      </w:r>
      <w:proofErr w:type="spellEnd"/>
      <w:r>
        <w:rPr>
          <w:color w:val="000000" w:themeColor="text1"/>
          <w:sz w:val="28"/>
          <w:szCs w:val="28"/>
        </w:rPr>
        <w:t>.</w:t>
      </w:r>
      <w:r w:rsidRPr="00285D09">
        <w:rPr>
          <w:color w:val="000000" w:themeColor="text1"/>
          <w:sz w:val="28"/>
          <w:szCs w:val="28"/>
        </w:rPr>
        <w:t xml:space="preserve"> Доля торговой сети «Пятерочка» в общем объеме всех реализованных продовольственных товаров превышает 25% в</w:t>
      </w:r>
      <w:r w:rsidR="00240827">
        <w:rPr>
          <w:color w:val="000000" w:themeColor="text1"/>
          <w:sz w:val="28"/>
          <w:szCs w:val="28"/>
        </w:rPr>
        <w:t> </w:t>
      </w:r>
      <w:r w:rsidRPr="00285D09">
        <w:rPr>
          <w:color w:val="000000" w:themeColor="text1"/>
          <w:sz w:val="28"/>
          <w:szCs w:val="28"/>
        </w:rPr>
        <w:t xml:space="preserve">Дмитриевском, Железногорском, </w:t>
      </w:r>
      <w:proofErr w:type="spellStart"/>
      <w:r w:rsidRPr="00285D09">
        <w:rPr>
          <w:color w:val="000000" w:themeColor="text1"/>
          <w:sz w:val="28"/>
          <w:szCs w:val="28"/>
        </w:rPr>
        <w:t>Обоянском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Курчатовском, Рыльском, Советском, Октябрьском, </w:t>
      </w:r>
      <w:proofErr w:type="spellStart"/>
      <w:r w:rsidRPr="00285D09">
        <w:rPr>
          <w:color w:val="000000" w:themeColor="text1"/>
          <w:sz w:val="28"/>
          <w:szCs w:val="28"/>
        </w:rPr>
        <w:t>Горшеченском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Черемисиновском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Касторенском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Фатежском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Конышевском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Золотухинском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Хомутовском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, </w:t>
      </w:r>
      <w:proofErr w:type="spellStart"/>
      <w:r w:rsidRPr="00285D09">
        <w:rPr>
          <w:color w:val="000000" w:themeColor="text1"/>
          <w:sz w:val="28"/>
          <w:szCs w:val="28"/>
        </w:rPr>
        <w:t>Медвенском</w:t>
      </w:r>
      <w:proofErr w:type="spellEnd"/>
      <w:r w:rsidRPr="00285D09">
        <w:rPr>
          <w:color w:val="000000" w:themeColor="text1"/>
          <w:sz w:val="28"/>
          <w:szCs w:val="28"/>
        </w:rPr>
        <w:t xml:space="preserve"> районах, а также в городе Льгове.</w:t>
      </w:r>
    </w:p>
    <w:p w:rsidR="00767745" w:rsidRPr="00285D09" w:rsidRDefault="00767745" w:rsidP="00892DED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85D09">
        <w:rPr>
          <w:color w:val="000000" w:themeColor="text1"/>
          <w:sz w:val="28"/>
          <w:szCs w:val="28"/>
        </w:rPr>
        <w:t xml:space="preserve">То есть во всех перечисленных муниципальных образованиях по федеральному законодательству теперь запрещено открывать новые магазины «Магнит» или «Пятерочка» соответственно. </w:t>
      </w:r>
    </w:p>
    <w:p w:rsidR="00767745" w:rsidRPr="003F2BEB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EB">
        <w:rPr>
          <w:rFonts w:ascii="Times New Roman" w:hAnsi="Times New Roman" w:cs="Times New Roman"/>
          <w:b/>
          <w:sz w:val="28"/>
          <w:szCs w:val="28"/>
        </w:rPr>
        <w:t>Рязанская область</w:t>
      </w:r>
    </w:p>
    <w:p w:rsidR="00767745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Рязанское управление ФАС России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рассчитало </w:t>
      </w: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доли торговых сетей в</w:t>
      </w:r>
      <w:r w:rsidR="002408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границах муниципальных образований региона. Во многих районах выявлены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ритейлеры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доля продаж которых превышает 25% объёма всех реализованных товаров в денежном выражении в этих муниципальных образованиях. </w:t>
      </w:r>
    </w:p>
    <w:p w:rsidR="00767745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Торговая сеть «Пятерочка» X5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Retail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Group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имеет долю свыше 25% в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Ерми</w:t>
      </w:r>
      <w:r w:rsidR="004A5A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шинском</w:t>
      </w:r>
      <w:proofErr w:type="spellEnd"/>
      <w:r w:rsidR="004A5A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A5A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Кадомском</w:t>
      </w:r>
      <w:proofErr w:type="spellEnd"/>
      <w:r w:rsidR="004A5A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Милославском</w:t>
      </w: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Пронском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Путятинском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Ряжском,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Сапожковском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Сараевском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Старожиловском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Чучковском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Шацком районах. </w:t>
      </w:r>
    </w:p>
    <w:p w:rsidR="00767745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Торговая сеть АО «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Дикси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Юг» имеет долю свыше 25% в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Пителинском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Путятинском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районах.</w:t>
      </w:r>
    </w:p>
    <w:p w:rsidR="00767745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Торговая сеть «Магнит» АО «Тандер» имеет долю свыше 25% в городах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Касимов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Сасово, Скопин, а также в Александро-Невском,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Ермишинском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Кадомском</w:t>
      </w:r>
      <w:proofErr w:type="spellEnd"/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районах. </w:t>
      </w:r>
    </w:p>
    <w:p w:rsidR="00767745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2B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законодательством, теперь они не вправе приобретать или арендовать в границах соответствующего административно-территориального образования дополнительную площадь торговых объектов. Суд может признать такие сделки недействительными.</w:t>
      </w:r>
    </w:p>
    <w:p w:rsidR="00767745" w:rsidRPr="00DC5F1B" w:rsidRDefault="00767745" w:rsidP="00892DED">
      <w:pPr>
        <w:tabs>
          <w:tab w:val="left" w:pos="1134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5F1B" w:rsidRPr="00456E78" w:rsidRDefault="00DC5F1B" w:rsidP="00456E78">
      <w:pPr>
        <w:pStyle w:val="a6"/>
        <w:tabs>
          <w:tab w:val="left" w:pos="1134"/>
        </w:tabs>
        <w:spacing w:after="0" w:line="264" w:lineRule="auto"/>
        <w:ind w:left="709"/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456E78">
        <w:rPr>
          <w:rFonts w:ascii="Times New Roman" w:hAnsi="Times New Roman" w:cs="Times New Roman"/>
          <w:b/>
          <w:bCs/>
          <w:sz w:val="32"/>
          <w:szCs w:val="28"/>
          <w:u w:val="single"/>
        </w:rPr>
        <w:t>Международный опыт</w:t>
      </w:r>
    </w:p>
    <w:p w:rsidR="00767745" w:rsidRPr="00E61800" w:rsidRDefault="00767745" w:rsidP="00892DED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61800">
        <w:rPr>
          <w:rFonts w:ascii="Roboto" w:hAnsi="Roboto"/>
          <w:color w:val="000000"/>
          <w:sz w:val="28"/>
          <w:szCs w:val="28"/>
        </w:rPr>
        <w:t xml:space="preserve">В </w:t>
      </w:r>
      <w:r w:rsidRPr="00E61800">
        <w:rPr>
          <w:color w:val="000000"/>
          <w:sz w:val="28"/>
          <w:szCs w:val="28"/>
        </w:rPr>
        <w:t xml:space="preserve">начале 2018 года правительство </w:t>
      </w:r>
      <w:r w:rsidRPr="00E61800">
        <w:rPr>
          <w:b/>
          <w:color w:val="000000"/>
          <w:sz w:val="28"/>
          <w:szCs w:val="28"/>
        </w:rPr>
        <w:t>Польши</w:t>
      </w:r>
      <w:r w:rsidRPr="00E61800">
        <w:rPr>
          <w:color w:val="000000"/>
          <w:sz w:val="28"/>
          <w:szCs w:val="28"/>
        </w:rPr>
        <w:t xml:space="preserve"> приняло закон, запрещающий крупным магазинам</w:t>
      </w:r>
      <w:hyperlink w:tgtFrame="_blank" w:history="1">
        <w:r w:rsidRPr="00E61800">
          <w:rPr>
            <w:rStyle w:val="a4"/>
            <w:color w:val="0063CC"/>
            <w:sz w:val="28"/>
            <w:szCs w:val="28"/>
            <w:u w:val="none"/>
          </w:rPr>
          <w:t> </w:t>
        </w:r>
      </w:hyperlink>
      <w:hyperlink w:tgtFrame="_blank" w:history="1">
        <w:r w:rsidRPr="00E61800">
          <w:rPr>
            <w:rStyle w:val="a4"/>
            <w:color w:val="000000" w:themeColor="text1"/>
            <w:sz w:val="28"/>
            <w:szCs w:val="28"/>
            <w:u w:val="none"/>
          </w:rPr>
          <w:t>торговать в воскресенье</w:t>
        </w:r>
      </w:hyperlink>
      <w:r w:rsidRPr="00E61800">
        <w:rPr>
          <w:color w:val="000000" w:themeColor="text1"/>
          <w:sz w:val="28"/>
          <w:szCs w:val="28"/>
        </w:rPr>
        <w:t xml:space="preserve">. </w:t>
      </w:r>
      <w:r w:rsidRPr="00E61800">
        <w:rPr>
          <w:color w:val="000000"/>
          <w:sz w:val="28"/>
          <w:szCs w:val="28"/>
        </w:rPr>
        <w:t xml:space="preserve">Таким образом, Польша присоединилась к целому ряду европейских государств, в которых крупные магазины не работают по воскресеньям. В их число входят Дания, где </w:t>
      </w:r>
      <w:proofErr w:type="spellStart"/>
      <w:r w:rsidRPr="00E61800">
        <w:rPr>
          <w:color w:val="000000"/>
          <w:sz w:val="28"/>
          <w:szCs w:val="28"/>
        </w:rPr>
        <w:t>ритейлеры</w:t>
      </w:r>
      <w:proofErr w:type="spellEnd"/>
      <w:r w:rsidRPr="00E61800">
        <w:rPr>
          <w:color w:val="000000"/>
          <w:sz w:val="28"/>
          <w:szCs w:val="28"/>
        </w:rPr>
        <w:t xml:space="preserve"> могут работать с 6 утра понедельника до 17 часов субботы – для остального времени требуется разрешение властей. В </w:t>
      </w:r>
      <w:r w:rsidRPr="00E61800">
        <w:rPr>
          <w:b/>
          <w:color w:val="000000"/>
          <w:sz w:val="28"/>
          <w:szCs w:val="28"/>
        </w:rPr>
        <w:t>Великобритании и</w:t>
      </w:r>
      <w:r w:rsidR="00240827">
        <w:rPr>
          <w:b/>
          <w:color w:val="000000"/>
          <w:sz w:val="28"/>
          <w:szCs w:val="28"/>
        </w:rPr>
        <w:t> </w:t>
      </w:r>
      <w:r w:rsidRPr="00E61800">
        <w:rPr>
          <w:b/>
          <w:color w:val="000000"/>
          <w:sz w:val="28"/>
          <w:szCs w:val="28"/>
        </w:rPr>
        <w:t>Норвегии</w:t>
      </w:r>
      <w:r w:rsidRPr="00E61800">
        <w:rPr>
          <w:color w:val="000000"/>
          <w:sz w:val="28"/>
          <w:szCs w:val="28"/>
        </w:rPr>
        <w:t xml:space="preserve"> воскресное время работы магазинов ограничено 6 часами. </w:t>
      </w:r>
      <w:r w:rsidRPr="00E61800">
        <w:rPr>
          <w:b/>
          <w:color w:val="000000"/>
          <w:sz w:val="28"/>
          <w:szCs w:val="28"/>
        </w:rPr>
        <w:t>В Индии</w:t>
      </w:r>
      <w:r w:rsidRPr="00E61800">
        <w:rPr>
          <w:color w:val="000000"/>
          <w:sz w:val="28"/>
          <w:szCs w:val="28"/>
        </w:rPr>
        <w:t xml:space="preserve"> каждый магазин должен выбрать минимум один выходной; какой именно это будет день – решает владелец.  </w:t>
      </w:r>
      <w:r w:rsidRPr="00E61800">
        <w:rPr>
          <w:sz w:val="28"/>
          <w:szCs w:val="28"/>
        </w:rPr>
        <w:t xml:space="preserve"> </w:t>
      </w:r>
    </w:p>
    <w:p w:rsidR="00767745" w:rsidRPr="00E61800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00">
        <w:rPr>
          <w:rFonts w:ascii="Times New Roman" w:hAnsi="Times New Roman" w:cs="Times New Roman"/>
          <w:b/>
          <w:sz w:val="28"/>
          <w:szCs w:val="28"/>
        </w:rPr>
        <w:t>Франция.</w:t>
      </w:r>
      <w:r w:rsidRPr="00E61800">
        <w:rPr>
          <w:rFonts w:ascii="Times New Roman" w:hAnsi="Times New Roman" w:cs="Times New Roman"/>
          <w:sz w:val="28"/>
          <w:szCs w:val="28"/>
        </w:rPr>
        <w:t xml:space="preserve"> С 1996 г. для открытия торгового объекта площадью свыше 300 кв. м требуется получить лицензию (которая отличается от разрешения требуемого на строительство нового объекта). Получение такой лицензии зависит от ряда критериев, в том числе от того влияния, которое окажет открытие этого магазина на уровень занятости и состояние окружающей среды. Открытие торгового объекта площадью свыше 6000 кв. м подпадает под действие специального закона.</w:t>
      </w:r>
    </w:p>
    <w:p w:rsidR="00767745" w:rsidRPr="00E61800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00">
        <w:rPr>
          <w:rFonts w:ascii="Times New Roman" w:hAnsi="Times New Roman" w:cs="Times New Roman"/>
          <w:sz w:val="28"/>
          <w:szCs w:val="28"/>
        </w:rPr>
        <w:t xml:space="preserve"> </w:t>
      </w:r>
      <w:r w:rsidRPr="00E61800">
        <w:rPr>
          <w:rFonts w:ascii="Times New Roman" w:hAnsi="Times New Roman" w:cs="Times New Roman"/>
          <w:b/>
          <w:sz w:val="28"/>
          <w:szCs w:val="28"/>
        </w:rPr>
        <w:t>Германия.</w:t>
      </w:r>
      <w:r w:rsidRPr="00E61800">
        <w:rPr>
          <w:rFonts w:ascii="Times New Roman" w:hAnsi="Times New Roman" w:cs="Times New Roman"/>
          <w:sz w:val="28"/>
          <w:szCs w:val="28"/>
        </w:rPr>
        <w:t xml:space="preserve"> При открытии торговых объектов площадью менее 700 кв. м действует упрощенная система получения разрешения. Считается, что открытие торгового объекта площадью свыше 1200 кв. м автоматически окажет негативное влияние на городскую инфраструктуру и развитие, пока не будет доказано обратное. Регулирование особенно жесткое в отношении релевантного для города ассортимента, например одежды.</w:t>
      </w:r>
    </w:p>
    <w:p w:rsidR="00767745" w:rsidRDefault="0076774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00">
        <w:rPr>
          <w:rFonts w:ascii="Times New Roman" w:hAnsi="Times New Roman" w:cs="Times New Roman"/>
          <w:b/>
          <w:sz w:val="28"/>
          <w:szCs w:val="28"/>
        </w:rPr>
        <w:t>Италия.</w:t>
      </w:r>
      <w:r w:rsidRPr="00E61800">
        <w:rPr>
          <w:rFonts w:ascii="Times New Roman" w:hAnsi="Times New Roman" w:cs="Times New Roman"/>
          <w:sz w:val="28"/>
          <w:szCs w:val="28"/>
        </w:rPr>
        <w:t xml:space="preserve"> В Италии был принят закон, в котором все торговые объекты делились на малые (площадью до 150 кв. м), средние (от 150 до 1500 кв. м) и крупные (свыше 1500 кв. м). В городах с населением свыше 10 тыс. жителей порог для средних и крупных магазинов подняли до 250 и 2500 кв. м соответственно. Для открытия малых торговых объектов более не требовалось получать специального разрешения, для открытия средних торговых объектов необходимо было обращаться, как и ранее, в городской совет, а открытие крупных торговых объектов отныне регулировалось на региональном уровне. </w:t>
      </w:r>
    </w:p>
    <w:p w:rsidR="00456E78" w:rsidRPr="00E61800" w:rsidRDefault="00456E78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78" w:rsidRDefault="00914449" w:rsidP="0091444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6E78">
        <w:rPr>
          <w:rFonts w:ascii="Times New Roman" w:hAnsi="Times New Roman" w:cs="Times New Roman"/>
          <w:b/>
          <w:bCs/>
          <w:sz w:val="32"/>
          <w:szCs w:val="28"/>
          <w:u w:val="single"/>
        </w:rPr>
        <w:t>Предложение по регулированию деятельности торговых сетей</w:t>
      </w:r>
      <w:r w:rsidR="00456E7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14449" w:rsidRPr="00700DB9" w:rsidRDefault="00700DB9" w:rsidP="00700DB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14449" w:rsidRPr="00700DB9">
        <w:rPr>
          <w:rFonts w:ascii="Times New Roman" w:hAnsi="Times New Roman" w:cs="Times New Roman"/>
          <w:color w:val="000000"/>
          <w:sz w:val="28"/>
          <w:szCs w:val="28"/>
        </w:rPr>
        <w:t>Поскольку все предприятия розничной торговли, включая малый бизнес, используют онлайн кассы</w:t>
      </w:r>
      <w:r w:rsidR="009D1252" w:rsidRPr="00700D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4449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методику определения доли рынка на основании данных онлайн </w:t>
      </w:r>
      <w:proofErr w:type="gramStart"/>
      <w:r w:rsidR="00914449" w:rsidRPr="00700DB9">
        <w:rPr>
          <w:rFonts w:ascii="Times New Roman" w:hAnsi="Times New Roman" w:cs="Times New Roman"/>
          <w:color w:val="000000"/>
          <w:sz w:val="28"/>
          <w:szCs w:val="28"/>
        </w:rPr>
        <w:t>касс,  а</w:t>
      </w:r>
      <w:proofErr w:type="gramEnd"/>
      <w:r w:rsidR="00914449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 не данных </w:t>
      </w:r>
      <w:r w:rsidR="0041055E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органов федеральной </w:t>
      </w:r>
      <w:r w:rsidR="00914449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статистики </w:t>
      </w:r>
      <w:r w:rsidR="0041055E" w:rsidRPr="00700DB9">
        <w:rPr>
          <w:rFonts w:ascii="Times New Roman" w:hAnsi="Times New Roman" w:cs="Times New Roman"/>
          <w:color w:val="000000"/>
          <w:sz w:val="28"/>
          <w:szCs w:val="28"/>
        </w:rPr>
        <w:t>использующих</w:t>
      </w:r>
      <w:r w:rsidR="00914449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55E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="0041055E" w:rsidRPr="00700DB9">
        <w:rPr>
          <w:rFonts w:ascii="Times New Roman" w:hAnsi="Times New Roman" w:cs="Times New Roman"/>
          <w:color w:val="000000"/>
          <w:sz w:val="28"/>
          <w:szCs w:val="28"/>
        </w:rPr>
        <w:t>досчета</w:t>
      </w:r>
      <w:proofErr w:type="spellEnd"/>
      <w:r w:rsidR="0041055E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товарооборота  малый бизнес</w:t>
      </w:r>
      <w:r w:rsidR="00914449" w:rsidRPr="00700D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4535" w:rsidRPr="00826584" w:rsidRDefault="00700DB9" w:rsidP="00700DB9">
      <w:pPr>
        <w:pStyle w:val="a6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64535" w:rsidRPr="00826584">
        <w:rPr>
          <w:rFonts w:ascii="Times New Roman" w:hAnsi="Times New Roman" w:cs="Times New Roman"/>
          <w:bCs/>
          <w:sz w:val="28"/>
          <w:szCs w:val="28"/>
        </w:rPr>
        <w:t>В</w:t>
      </w:r>
      <w:r w:rsidR="00826584">
        <w:rPr>
          <w:rFonts w:ascii="Times New Roman" w:hAnsi="Times New Roman" w:cs="Times New Roman"/>
          <w:bCs/>
          <w:sz w:val="28"/>
          <w:szCs w:val="28"/>
        </w:rPr>
        <w:t>вести</w:t>
      </w:r>
      <w:r w:rsidR="00E64535" w:rsidRPr="00826584">
        <w:rPr>
          <w:rFonts w:ascii="Times New Roman" w:hAnsi="Times New Roman" w:cs="Times New Roman"/>
          <w:bCs/>
          <w:sz w:val="28"/>
          <w:szCs w:val="28"/>
        </w:rPr>
        <w:t xml:space="preserve"> оборотны</w:t>
      </w:r>
      <w:r w:rsidR="00826584">
        <w:rPr>
          <w:rFonts w:ascii="Times New Roman" w:hAnsi="Times New Roman" w:cs="Times New Roman"/>
          <w:bCs/>
          <w:sz w:val="28"/>
          <w:szCs w:val="28"/>
        </w:rPr>
        <w:t>е</w:t>
      </w:r>
      <w:r w:rsidR="00E64535" w:rsidRPr="00826584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826584">
        <w:rPr>
          <w:rFonts w:ascii="Times New Roman" w:hAnsi="Times New Roman" w:cs="Times New Roman"/>
          <w:bCs/>
          <w:sz w:val="28"/>
          <w:szCs w:val="28"/>
        </w:rPr>
        <w:t>ы</w:t>
      </w:r>
      <w:r w:rsidR="00E64535" w:rsidRPr="00826584">
        <w:rPr>
          <w:rFonts w:ascii="Times New Roman" w:hAnsi="Times New Roman" w:cs="Times New Roman"/>
          <w:bCs/>
          <w:sz w:val="28"/>
          <w:szCs w:val="28"/>
        </w:rPr>
        <w:t xml:space="preserve"> за нарушение законодательства по превышению норматива присутствия торговых сетей в отдельных муниципалитетах.</w:t>
      </w:r>
    </w:p>
    <w:p w:rsidR="00FF67E5" w:rsidRDefault="00700DB9" w:rsidP="00700DB9">
      <w:pPr>
        <w:pStyle w:val="a6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4535" w:rsidRPr="00826584">
        <w:rPr>
          <w:rFonts w:ascii="Times New Roman" w:hAnsi="Times New Roman" w:cs="Times New Roman"/>
          <w:bCs/>
          <w:sz w:val="28"/>
          <w:szCs w:val="28"/>
        </w:rPr>
        <w:t xml:space="preserve">Предусмотреть процентное распределение представителей МСП в перечне </w:t>
      </w:r>
      <w:r w:rsidR="006B792B" w:rsidRPr="00826584">
        <w:rPr>
          <w:rFonts w:ascii="Times New Roman" w:hAnsi="Times New Roman" w:cs="Times New Roman"/>
          <w:bCs/>
          <w:sz w:val="28"/>
          <w:szCs w:val="28"/>
        </w:rPr>
        <w:t>поставщиков торговых сетей (по аналогии с государственными закупками)</w:t>
      </w:r>
      <w:r w:rsidR="00826584">
        <w:rPr>
          <w:rFonts w:ascii="Times New Roman" w:hAnsi="Times New Roman" w:cs="Times New Roman"/>
          <w:bCs/>
          <w:sz w:val="28"/>
          <w:szCs w:val="28"/>
        </w:rPr>
        <w:t>.</w:t>
      </w:r>
    </w:p>
    <w:p w:rsidR="00FF67E5" w:rsidRPr="00FF67E5" w:rsidRDefault="00700DB9" w:rsidP="00700DB9">
      <w:pPr>
        <w:pStyle w:val="a6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586C" w:rsidRPr="00FF67E5">
        <w:rPr>
          <w:rFonts w:ascii="Times New Roman" w:hAnsi="Times New Roman" w:cs="Times New Roman"/>
          <w:sz w:val="28"/>
          <w:szCs w:val="28"/>
        </w:rPr>
        <w:t>Установить рыночное ценообразование на табачную продукцию, дав возможность розничным магазинам самостоятельно определять размер наценки.</w:t>
      </w:r>
    </w:p>
    <w:p w:rsidR="00245CFB" w:rsidRPr="00FF67E5" w:rsidRDefault="00700DB9" w:rsidP="00700DB9">
      <w:pPr>
        <w:pStyle w:val="a6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5CFB" w:rsidRPr="00FF67E5">
        <w:rPr>
          <w:rFonts w:ascii="Times New Roman" w:hAnsi="Times New Roman" w:cs="Times New Roman"/>
          <w:sz w:val="28"/>
          <w:szCs w:val="28"/>
        </w:rPr>
        <w:t xml:space="preserve">Ввести дифференцированный расчет суммы оплаты </w:t>
      </w:r>
      <w:proofErr w:type="gramStart"/>
      <w:r w:rsidR="00245CFB" w:rsidRPr="00FF67E5">
        <w:rPr>
          <w:rFonts w:ascii="Times New Roman" w:hAnsi="Times New Roman" w:cs="Times New Roman"/>
          <w:sz w:val="28"/>
          <w:szCs w:val="28"/>
        </w:rPr>
        <w:t>пошлины  за</w:t>
      </w:r>
      <w:proofErr w:type="gramEnd"/>
      <w:r w:rsidR="00245CFB" w:rsidRPr="00FF67E5">
        <w:rPr>
          <w:rFonts w:ascii="Times New Roman" w:hAnsi="Times New Roman" w:cs="Times New Roman"/>
          <w:sz w:val="28"/>
          <w:szCs w:val="28"/>
        </w:rPr>
        <w:t xml:space="preserve"> выдачу (продление) лицензий на розничную продажу алкогольной продукции  (в зависимости от количества касс в торговом зале или торговой площади магазинов).  </w:t>
      </w:r>
    </w:p>
    <w:p w:rsidR="00E64535" w:rsidRDefault="00E6453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7E5" w:rsidRDefault="00FF67E5" w:rsidP="00892DED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745" w:rsidRPr="00184943" w:rsidRDefault="00184943" w:rsidP="00892DED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67E5">
        <w:rPr>
          <w:rFonts w:ascii="Times New Roman" w:hAnsi="Times New Roman" w:cs="Times New Roman"/>
          <w:b/>
          <w:bCs/>
          <w:sz w:val="32"/>
          <w:szCs w:val="28"/>
          <w:u w:val="single"/>
          <w:lang w:val="en-US"/>
        </w:rPr>
        <w:t>II</w:t>
      </w:r>
      <w:r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. </w:t>
      </w:r>
      <w:r w:rsidR="00456E78"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>Проблемы</w:t>
      </w:r>
      <w:r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развития региональных производителей и поставщиков </w:t>
      </w:r>
      <w:r w:rsidR="00456E78"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при доминировании </w:t>
      </w:r>
      <w:r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>федеральны</w:t>
      </w:r>
      <w:r w:rsidR="00456E78"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>х</w:t>
      </w:r>
      <w:r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торговы</w:t>
      </w:r>
      <w:r w:rsidR="00456E78"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>х</w:t>
      </w:r>
      <w:r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456E78"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>сетей</w:t>
      </w:r>
      <w:r w:rsidRPr="00FF67E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</w:p>
    <w:p w:rsidR="00184943" w:rsidRPr="00184943" w:rsidRDefault="00184943" w:rsidP="0018494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5A0C" w:rsidRPr="005C0D82" w:rsidRDefault="004A5A0C" w:rsidP="00184943">
      <w:pPr>
        <w:pStyle w:val="a6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D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Проблематика </w:t>
      </w:r>
    </w:p>
    <w:p w:rsidR="00C27134" w:rsidRDefault="000F5ED3" w:rsidP="001849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сложности </w:t>
      </w:r>
      <w:r w:rsidRPr="000F5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вхождением на «полку» в сетевых магазинах для малых предприятий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74F2" w:rsidRPr="003A71FA" w:rsidRDefault="006474F2" w:rsidP="006474F2">
      <w:pPr>
        <w:pStyle w:val="a6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1FA">
        <w:rPr>
          <w:rFonts w:ascii="Times New Roman" w:hAnsi="Times New Roman" w:cs="Times New Roman"/>
          <w:color w:val="000000"/>
          <w:sz w:val="28"/>
          <w:szCs w:val="28"/>
        </w:rPr>
        <w:t>Необходимость наличия достаточного объема товара, чтобы быть представленным сразу во всех магазин</w:t>
      </w:r>
      <w:r>
        <w:rPr>
          <w:rFonts w:ascii="Times New Roman" w:hAnsi="Times New Roman" w:cs="Times New Roman"/>
          <w:color w:val="000000"/>
          <w:sz w:val="28"/>
          <w:szCs w:val="28"/>
        </w:rPr>
        <w:t>ах сети (как минимум в регионе)</w:t>
      </w:r>
    </w:p>
    <w:p w:rsidR="0081620F" w:rsidRPr="000F5ED3" w:rsidRDefault="00585163" w:rsidP="006474F2">
      <w:pPr>
        <w:numPr>
          <w:ilvl w:val="0"/>
          <w:numId w:val="2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Затраты на расположение на полке (за выгодное место) </w:t>
      </w:r>
    </w:p>
    <w:p w:rsidR="0081620F" w:rsidRPr="000F5ED3" w:rsidRDefault="00585163" w:rsidP="006474F2">
      <w:pPr>
        <w:numPr>
          <w:ilvl w:val="0"/>
          <w:numId w:val="2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маркетинговые мероприятия (скидки и акции)</w:t>
      </w:r>
    </w:p>
    <w:p w:rsidR="0081620F" w:rsidRPr="000F5ED3" w:rsidRDefault="00585163" w:rsidP="006474F2">
      <w:pPr>
        <w:numPr>
          <w:ilvl w:val="0"/>
          <w:numId w:val="2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вывоз продукции с истекшим сроком годности</w:t>
      </w:r>
    </w:p>
    <w:p w:rsidR="0081620F" w:rsidRDefault="00585163" w:rsidP="006474F2">
      <w:pPr>
        <w:numPr>
          <w:ilvl w:val="0"/>
          <w:numId w:val="2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требования к упаковке и маркировке товаров</w:t>
      </w:r>
    </w:p>
    <w:p w:rsidR="006474F2" w:rsidRPr="006474F2" w:rsidRDefault="006474F2" w:rsidP="006474F2">
      <w:pPr>
        <w:pStyle w:val="a6"/>
        <w:numPr>
          <w:ilvl w:val="0"/>
          <w:numId w:val="2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F2">
        <w:rPr>
          <w:rFonts w:ascii="Times New Roman" w:hAnsi="Times New Roman" w:cs="Times New Roman"/>
          <w:color w:val="000000"/>
          <w:sz w:val="28"/>
          <w:szCs w:val="28"/>
        </w:rPr>
        <w:t>Проблемы с логистикой. Доставка продукции до каждого магазина сети самостоятельно в случае, если сроки годности товара менее 10 суток (невозможность использования распределительных центров сетей и их развоза).</w:t>
      </w:r>
    </w:p>
    <w:p w:rsidR="000F5ED3" w:rsidRDefault="000F5ED3" w:rsidP="001849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EFF" w:rsidRPr="00C201E4" w:rsidRDefault="006A3EFF" w:rsidP="00C201E4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1E4">
        <w:rPr>
          <w:rFonts w:ascii="Times New Roman" w:hAnsi="Times New Roman" w:cs="Times New Roman"/>
          <w:b/>
          <w:sz w:val="28"/>
          <w:szCs w:val="28"/>
        </w:rPr>
        <w:t>Пример: г. Магнитогорск</w:t>
      </w:r>
    </w:p>
    <w:p w:rsidR="006A3EFF" w:rsidRPr="00C201E4" w:rsidRDefault="006A3EFF" w:rsidP="00C201E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4">
        <w:rPr>
          <w:rFonts w:ascii="Times New Roman" w:hAnsi="Times New Roman" w:cs="Times New Roman"/>
          <w:sz w:val="28"/>
          <w:szCs w:val="28"/>
        </w:rPr>
        <w:t>В регионе отмечается растущее давление федеральных торговых сетей (ФТС) на бизнес, приход крупных транснациональных компаний. Поступают жалобы от бизнеса, что с сетями невозможно договориться о взаимовыгодных условиях, Если ФТС не получает 70% дохода, то такие договоры они даже не рассматривают. Поэтому местным производителям в сеть невозможно попасть вообще.</w:t>
      </w:r>
    </w:p>
    <w:p w:rsidR="006A3EFF" w:rsidRPr="00C201E4" w:rsidRDefault="006A3EFF" w:rsidP="00C201E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4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C201E4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Pr="00C201E4">
        <w:rPr>
          <w:rFonts w:ascii="Times New Roman" w:hAnsi="Times New Roman" w:cs="Times New Roman"/>
          <w:sz w:val="28"/>
          <w:szCs w:val="28"/>
        </w:rPr>
        <w:t>» Тагиров Николай, производитель сельхозпродукции, Челябинская область</w:t>
      </w:r>
      <w:r w:rsidR="00030164">
        <w:rPr>
          <w:rFonts w:ascii="Times New Roman" w:hAnsi="Times New Roman" w:cs="Times New Roman"/>
          <w:sz w:val="28"/>
          <w:szCs w:val="28"/>
        </w:rPr>
        <w:t>:</w:t>
      </w:r>
      <w:r w:rsidRPr="00C201E4">
        <w:rPr>
          <w:rFonts w:ascii="Times New Roman" w:hAnsi="Times New Roman" w:cs="Times New Roman"/>
          <w:sz w:val="28"/>
          <w:szCs w:val="28"/>
        </w:rPr>
        <w:t xml:space="preserve"> </w:t>
      </w:r>
      <w:r w:rsidR="00C201E4" w:rsidRPr="00C201E4">
        <w:rPr>
          <w:rFonts w:ascii="Times New Roman" w:hAnsi="Times New Roman" w:cs="Times New Roman"/>
          <w:sz w:val="28"/>
          <w:szCs w:val="28"/>
        </w:rPr>
        <w:t>в</w:t>
      </w:r>
      <w:r w:rsidRPr="00C201E4">
        <w:rPr>
          <w:rFonts w:ascii="Times New Roman" w:hAnsi="Times New Roman" w:cs="Times New Roman"/>
          <w:sz w:val="28"/>
          <w:szCs w:val="28"/>
        </w:rPr>
        <w:t xml:space="preserve"> 2020 год из-за того, что не мог реализовать продукцию в сети, пропало 500 тонн картофеля, 3 тысячи тонн капусты.</w:t>
      </w:r>
      <w:r w:rsidR="00C201E4">
        <w:rPr>
          <w:rFonts w:ascii="Times New Roman" w:hAnsi="Times New Roman" w:cs="Times New Roman"/>
          <w:sz w:val="28"/>
          <w:szCs w:val="28"/>
        </w:rPr>
        <w:t xml:space="preserve"> Торговая сеть вынудила проводить маркетинговые акции за счет  части наценки</w:t>
      </w:r>
      <w:r w:rsidR="00030164">
        <w:rPr>
          <w:rFonts w:ascii="Times New Roman" w:hAnsi="Times New Roman" w:cs="Times New Roman"/>
          <w:sz w:val="28"/>
          <w:szCs w:val="28"/>
        </w:rPr>
        <w:t xml:space="preserve"> производителя</w:t>
      </w:r>
      <w:r w:rsidR="00C201E4">
        <w:rPr>
          <w:rFonts w:ascii="Times New Roman" w:hAnsi="Times New Roman" w:cs="Times New Roman"/>
          <w:sz w:val="28"/>
          <w:szCs w:val="28"/>
        </w:rPr>
        <w:t xml:space="preserve">, фактически заставляя работать в убыток. </w:t>
      </w:r>
    </w:p>
    <w:p w:rsidR="000F5ED3" w:rsidRDefault="000F5ED3" w:rsidP="001849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A0C" w:rsidRPr="00F23C06" w:rsidRDefault="004A5A0C" w:rsidP="00F23C06">
      <w:pPr>
        <w:pStyle w:val="a6"/>
        <w:tabs>
          <w:tab w:val="left" w:pos="1134"/>
        </w:tabs>
        <w:spacing w:after="0" w:line="264" w:lineRule="auto"/>
        <w:ind w:left="709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23C06">
        <w:rPr>
          <w:rFonts w:ascii="Times New Roman" w:hAnsi="Times New Roman" w:cs="Times New Roman"/>
          <w:b/>
          <w:sz w:val="32"/>
          <w:szCs w:val="28"/>
          <w:u w:val="single"/>
        </w:rPr>
        <w:t>Практика ФАС России</w:t>
      </w:r>
    </w:p>
    <w:p w:rsidR="004A5A0C" w:rsidRPr="00101AEB" w:rsidRDefault="004A5A0C" w:rsidP="00184943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Татарстан</w:t>
      </w:r>
    </w:p>
    <w:p w:rsidR="004A5A0C" w:rsidRPr="00101AEB" w:rsidRDefault="004A5A0C" w:rsidP="00184943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1AEB">
        <w:rPr>
          <w:color w:val="000000"/>
          <w:sz w:val="28"/>
          <w:szCs w:val="28"/>
        </w:rPr>
        <w:t xml:space="preserve">В 2019 году поступила жалоба от местного производителя – </w:t>
      </w:r>
      <w:proofErr w:type="spellStart"/>
      <w:r w:rsidRPr="00101AEB">
        <w:rPr>
          <w:color w:val="000000"/>
          <w:sz w:val="28"/>
          <w:szCs w:val="28"/>
        </w:rPr>
        <w:t>Бугульминского</w:t>
      </w:r>
      <w:proofErr w:type="spellEnd"/>
      <w:r w:rsidRPr="00101AEB">
        <w:rPr>
          <w:color w:val="000000"/>
          <w:sz w:val="28"/>
          <w:szCs w:val="28"/>
        </w:rPr>
        <w:t xml:space="preserve"> молочного комбината на действия торговой сети «Пятёрочка». Комиссия по рассмотрению дела пришла к выводу, что на протяжении 2017-2019 гг. ООО «Агроторг» </w:t>
      </w:r>
      <w:r>
        <w:rPr>
          <w:color w:val="000000"/>
          <w:sz w:val="28"/>
          <w:szCs w:val="28"/>
        </w:rPr>
        <w:t xml:space="preserve">(сеть «Пятерочка») </w:t>
      </w:r>
      <w:r w:rsidRPr="00101AEB">
        <w:rPr>
          <w:color w:val="000000"/>
          <w:sz w:val="28"/>
          <w:szCs w:val="28"/>
        </w:rPr>
        <w:t>необоснованно отклоняло коммерческое предложение ООО «</w:t>
      </w:r>
      <w:proofErr w:type="spellStart"/>
      <w:r w:rsidRPr="00101AEB">
        <w:rPr>
          <w:color w:val="000000"/>
          <w:sz w:val="28"/>
          <w:szCs w:val="28"/>
        </w:rPr>
        <w:t>Бугульминский</w:t>
      </w:r>
      <w:proofErr w:type="spellEnd"/>
      <w:r w:rsidRPr="00101AEB">
        <w:rPr>
          <w:color w:val="000000"/>
          <w:sz w:val="28"/>
          <w:szCs w:val="28"/>
        </w:rPr>
        <w:t xml:space="preserve"> молочный комбинат», создавая ему своими действиями препятствия для доступа на товарный рынок поставки молочной продукции на территории Республики Татарстан.</w:t>
      </w:r>
    </w:p>
    <w:p w:rsidR="004A5A0C" w:rsidRPr="00101AEB" w:rsidRDefault="004A5A0C" w:rsidP="00184943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1AEB">
        <w:rPr>
          <w:color w:val="000000"/>
          <w:sz w:val="28"/>
          <w:szCs w:val="28"/>
        </w:rPr>
        <w:t>По результатам рассмотрения дела ООО «Агроторг» было признано нарушившим пункт 2 части 1 статьи 13 Федерального закона от 28.12.2009 №</w:t>
      </w:r>
      <w:r w:rsidR="00240827">
        <w:rPr>
          <w:color w:val="000000"/>
          <w:sz w:val="28"/>
          <w:szCs w:val="28"/>
        </w:rPr>
        <w:t> </w:t>
      </w:r>
      <w:r w:rsidRPr="00101AEB">
        <w:rPr>
          <w:color w:val="000000"/>
          <w:sz w:val="28"/>
          <w:szCs w:val="28"/>
        </w:rPr>
        <w:t>381-ФЗ «Об основах государственного регулирования торговой деятельности в Российской Федерации», в адрес ответчика выдано предписание об устранении нарушения.</w:t>
      </w:r>
    </w:p>
    <w:p w:rsidR="004A5A0C" w:rsidRDefault="004A5A0C" w:rsidP="00184943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1AEB">
        <w:rPr>
          <w:color w:val="000000"/>
          <w:sz w:val="28"/>
          <w:szCs w:val="28"/>
        </w:rPr>
        <w:t>В сентябре этого года законность и обоснованность решения и предписания Татарстанского УФАС России была подтверждена арбитражным судом РТ. Пару недель назад нашу правомерность подтвердил и Одиннадцатый арбитражный апелляционный суд. Я не сомневаюсь, что наше решение будет исполнено.</w:t>
      </w:r>
    </w:p>
    <w:p w:rsidR="004A5A0C" w:rsidRPr="00801E12" w:rsidRDefault="004A5A0C" w:rsidP="00184943">
      <w:pPr>
        <w:pStyle w:val="a3"/>
        <w:spacing w:before="0" w:beforeAutospacing="0" w:after="0" w:afterAutospacing="0"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01E12">
        <w:rPr>
          <w:b/>
          <w:color w:val="000000" w:themeColor="text1"/>
          <w:sz w:val="28"/>
          <w:szCs w:val="28"/>
        </w:rPr>
        <w:t>Московская область</w:t>
      </w:r>
    </w:p>
    <w:p w:rsidR="004A5A0C" w:rsidRPr="00801E12" w:rsidRDefault="004A5A0C" w:rsidP="00184943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01E12">
        <w:rPr>
          <w:color w:val="000000" w:themeColor="text1"/>
          <w:sz w:val="28"/>
          <w:szCs w:val="28"/>
        </w:rPr>
        <w:t>Торговая сеть «</w:t>
      </w:r>
      <w:proofErr w:type="spellStart"/>
      <w:r w:rsidRPr="00801E12">
        <w:rPr>
          <w:color w:val="000000" w:themeColor="text1"/>
          <w:sz w:val="28"/>
          <w:szCs w:val="28"/>
        </w:rPr>
        <w:t>О'кей</w:t>
      </w:r>
      <w:proofErr w:type="spellEnd"/>
      <w:r w:rsidRPr="00801E12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в 2020 году </w:t>
      </w:r>
      <w:r w:rsidRPr="00801E12">
        <w:rPr>
          <w:color w:val="000000" w:themeColor="text1"/>
          <w:sz w:val="28"/>
          <w:szCs w:val="28"/>
        </w:rPr>
        <w:t>выплатила штраф в размере 2,5 млн</w:t>
      </w:r>
      <w:r>
        <w:rPr>
          <w:color w:val="000000" w:themeColor="text1"/>
          <w:sz w:val="28"/>
          <w:szCs w:val="28"/>
        </w:rPr>
        <w:t>.</w:t>
      </w:r>
      <w:r w:rsidRPr="00801E12">
        <w:rPr>
          <w:color w:val="000000" w:themeColor="text1"/>
          <w:sz w:val="28"/>
          <w:szCs w:val="28"/>
        </w:rPr>
        <w:t xml:space="preserve"> рублей за навязывание невыгодных условий поставщику кондитерских изделий и за ог</w:t>
      </w:r>
      <w:r>
        <w:rPr>
          <w:color w:val="000000" w:themeColor="text1"/>
          <w:sz w:val="28"/>
          <w:szCs w:val="28"/>
        </w:rPr>
        <w:t>раничение его доступа на рынок по результатам проверки управления</w:t>
      </w:r>
      <w:r w:rsidRPr="00801E12">
        <w:rPr>
          <w:color w:val="000000" w:themeColor="text1"/>
          <w:sz w:val="28"/>
          <w:szCs w:val="28"/>
        </w:rPr>
        <w:t xml:space="preserve"> Федеральной антимонопольной службы по Московской области.</w:t>
      </w:r>
    </w:p>
    <w:p w:rsidR="004A5A0C" w:rsidRDefault="004A5A0C" w:rsidP="00184943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801E12">
        <w:rPr>
          <w:color w:val="000000" w:themeColor="text1"/>
          <w:sz w:val="28"/>
          <w:szCs w:val="28"/>
        </w:rPr>
        <w:t xml:space="preserve">анее в отношении </w:t>
      </w:r>
      <w:proofErr w:type="spellStart"/>
      <w:r w:rsidRPr="00801E12">
        <w:rPr>
          <w:color w:val="000000" w:themeColor="text1"/>
          <w:sz w:val="28"/>
          <w:szCs w:val="28"/>
        </w:rPr>
        <w:t>ритейлера</w:t>
      </w:r>
      <w:proofErr w:type="spellEnd"/>
      <w:r w:rsidRPr="00801E12">
        <w:rPr>
          <w:color w:val="000000" w:themeColor="text1"/>
          <w:sz w:val="28"/>
          <w:szCs w:val="28"/>
        </w:rPr>
        <w:t xml:space="preserve"> было возбуждено дело о нарушении антимонопольного законодательства в части установления поставщику требований о пересмотре ранее согласованных цен на поставляемые товары в сторону уменьшения под угрозой прекращения договорных отношений между сторонами в случае непринятия предложения об уменьшении цены.</w:t>
      </w:r>
    </w:p>
    <w:p w:rsidR="004A5A0C" w:rsidRPr="00801E12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Краснодарский край</w:t>
      </w:r>
    </w:p>
    <w:p w:rsidR="004A5A0C" w:rsidRPr="00801E12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Десятый арбитражный апелляционный суд подтвердил, что штраф, наложенный Краснодарским УФАС на ООО «АШАН» в 2 млн рублей за уклонение от заключения договора на поставку товара, законный.</w:t>
      </w:r>
    </w:p>
    <w:p w:rsidR="004A5A0C" w:rsidRPr="00801E12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«Ашан» нарушил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за что на него наложили штраф. </w:t>
      </w:r>
      <w:proofErr w:type="spellStart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Ритейлер</w:t>
      </w:r>
      <w:proofErr w:type="spellEnd"/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уклонялся от заключения договора с ООО «Тихорецкий пивоваренный завод», не направив пивзаводу оферту на поставку товара.</w:t>
      </w:r>
    </w:p>
    <w:p w:rsidR="004A5A0C" w:rsidRPr="00801E12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сообщалось, тихорецкий пивзавод и торговая сеть заключили договор поставки товара, а «Ашан» заблокировал возможность заказа продукции кубанского поставщика.</w:t>
      </w:r>
    </w:p>
    <w:p w:rsidR="004A5A0C" w:rsidRPr="00801E12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о торговле, сеть имеет особый статус, экономически обоснование отказа от заключения договора должно быть обязательным.</w:t>
      </w:r>
    </w:p>
    <w:p w:rsidR="004A5A0C" w:rsidRPr="00801E12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«Довод компании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приобретения продукции ООО «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пивоваренный завод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ввиду высокой стоимости предлагаемого товара не был принят комиссией Краснодарского УФАС</w:t>
      </w:r>
      <w:r w:rsidR="0024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в качестве экономического обоснования в силу того, что основная прибыль торговой сети формируется из торговой надбавки.</w:t>
      </w:r>
    </w:p>
    <w:p w:rsidR="004A5A0C" w:rsidRPr="00801E12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на экономическую нецелесообразность приобретения товара указывает отсутствие потребительского спроса. Так, «Ашан» признан нарушителем п. 2 ч.1 ст. 13 закона о торговле, поскольку уклонился от заключения договора, не направив поставщику пива оферты о поставе товара.</w:t>
      </w:r>
    </w:p>
    <w:p w:rsidR="004A5A0C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«Ашан» обратился в Арбитражный суд Московской области, требуя признать незаконным постановления Краснодарского УФАС, судом в удовлетворении заявленных требований было отказано.</w:t>
      </w:r>
    </w:p>
    <w:p w:rsidR="00700DB9" w:rsidRDefault="00700DB9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5A0C" w:rsidRPr="003F2BEB" w:rsidRDefault="004A5A0C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2BE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Свердловская область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Свердловского УФАС России АО «Тандер»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(сеть «Магнит»)</w:t>
      </w: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признано нарушившим ч. 7 ст. 14.42 КоАП, что выразилось в возмещении расходов, не связанных с исполнением договора поставки, путем включения в него условий о возмещении поставщиком всех штрафных санкций и убытков, связанных с наложением государственными органами административных взысканий на покупателя, в результате поставки товара, несоответствующего требованиям законодательства.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 части 13 статьи 9 Закона о торговле установлено, что хозяйствующим субъектам, осуществляющим торговую деятельность по продаже продовольственных товаров посредством организации торговой сети, запрещается: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Гражданским кодексом РФ установлено, что обязанность принять товар лежит на покупателе, который, в свою очередь, должен проверить количество и качество принятых товаров в порядке, установленном законом, иными правовыми актами, договором или обычаями делового оборота.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установив в договоре поставки условие о необходимости возмещения поставщиком штрафных санкций и убытков, АО «Тандер», получив постановление Управления </w:t>
      </w:r>
      <w:proofErr w:type="spellStart"/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Свердловской области за наличие продукции ненадлежащего качества, направило претензию в адрес поставщика, продукция которого была признана ненадлежащей.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 оплатил АО «Тандер» указанную в претензии сумму денежных средств, при этом, на 11.05.2018 штраф по вынесенному Управлением </w:t>
      </w:r>
      <w:proofErr w:type="spellStart"/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Свердловской области постановлению АО</w:t>
      </w:r>
      <w:r w:rsidR="0024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«Тандер» в добровольном порядке не уплачен.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Свердловского УФАС России АО «Тандер» назначено административное наказание в виде административного штрафа в размере 1 000 000 руб.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согласившись с вынесенным постановлением, АО «Тандер» обратилось в Арбитражный суд Краснодарского края, который своим решением по делу № А32-42419/2018 признал незаконным и отменил постановление Свердловского УФАС России.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Пятнадцатого арбитражного апелляционного суда решение Арбитражного суда Краснодарского края отменено, так как апелляционный суд пришел к выводу о наличии в действиях (бездействии) АО</w:t>
      </w:r>
      <w:r w:rsidR="0024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«Тандер» события предусмотренного ч. 7 ст. 14.42 КоАП административного правонарушения, а также об отсутствии оснований для признания правонарушения малозначительным, указав, что размер наложенного штрафа соответствует характеру совершенного правонарушения и соразмерен его тяжести.</w:t>
      </w:r>
    </w:p>
    <w:p w:rsidR="004A5A0C" w:rsidRPr="003F2BEB" w:rsidRDefault="004A5A0C" w:rsidP="00184943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Штраф в размере 1 млн. руб. уплачен АО «Тандер» в полном объеме.</w:t>
      </w:r>
    </w:p>
    <w:p w:rsidR="004A5A0C" w:rsidRDefault="004A5A0C" w:rsidP="00184943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3B90" w:rsidRDefault="00513B90" w:rsidP="00184943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3B90" w:rsidRDefault="00513B90" w:rsidP="00184943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5A0C" w:rsidRPr="00F23C06" w:rsidRDefault="004A5A0C" w:rsidP="00F23C06">
      <w:pPr>
        <w:pStyle w:val="a6"/>
        <w:tabs>
          <w:tab w:val="left" w:pos="993"/>
        </w:tabs>
        <w:spacing w:after="0" w:line="264" w:lineRule="auto"/>
        <w:ind w:left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23C06">
        <w:rPr>
          <w:rFonts w:ascii="Times New Roman" w:hAnsi="Times New Roman" w:cs="Times New Roman"/>
          <w:b/>
          <w:sz w:val="32"/>
          <w:szCs w:val="28"/>
          <w:u w:val="single"/>
        </w:rPr>
        <w:t>Международный опыт</w:t>
      </w:r>
    </w:p>
    <w:p w:rsidR="004A5A0C" w:rsidRPr="00590DC1" w:rsidRDefault="004A5A0C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C1">
        <w:rPr>
          <w:rFonts w:ascii="Times New Roman" w:hAnsi="Times New Roman" w:cs="Times New Roman"/>
          <w:sz w:val="28"/>
          <w:szCs w:val="28"/>
        </w:rPr>
        <w:t>Западными странами накоплен немалый опыт вмешательства государства в ценообразование торговых предприятий. Как правило, он связан с установлением запретов на продажу товаров по цене ниже определенного уровня. Так, в 2000 г. в Германии Федеральное ведомство по надзору за деятельностью картелей (</w:t>
      </w:r>
      <w:proofErr w:type="spellStart"/>
      <w:r w:rsidRPr="00590DC1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9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C1">
        <w:rPr>
          <w:rFonts w:ascii="Times New Roman" w:hAnsi="Times New Roman" w:cs="Times New Roman"/>
          <w:sz w:val="28"/>
          <w:szCs w:val="28"/>
        </w:rPr>
        <w:t>Cartel</w:t>
      </w:r>
      <w:proofErr w:type="spellEnd"/>
      <w:r w:rsidRPr="0059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C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90DC1">
        <w:rPr>
          <w:rFonts w:ascii="Times New Roman" w:hAnsi="Times New Roman" w:cs="Times New Roman"/>
          <w:sz w:val="28"/>
          <w:szCs w:val="28"/>
        </w:rPr>
        <w:t xml:space="preserve">) предписало трем крупнейшем сетям </w:t>
      </w:r>
      <w:proofErr w:type="spellStart"/>
      <w:r w:rsidRPr="00590DC1">
        <w:rPr>
          <w:rFonts w:ascii="Times New Roman" w:hAnsi="Times New Roman" w:cs="Times New Roman"/>
          <w:sz w:val="28"/>
          <w:szCs w:val="28"/>
        </w:rPr>
        <w:t>Wal-Mart</w:t>
      </w:r>
      <w:proofErr w:type="spellEnd"/>
      <w:r w:rsidRPr="0059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C1">
        <w:rPr>
          <w:rFonts w:ascii="Times New Roman" w:hAnsi="Times New Roman" w:cs="Times New Roman"/>
          <w:sz w:val="28"/>
          <w:szCs w:val="28"/>
        </w:rPr>
        <w:t>Aldi</w:t>
      </w:r>
      <w:proofErr w:type="spellEnd"/>
      <w:r w:rsidRPr="00590D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0DC1">
        <w:rPr>
          <w:rFonts w:ascii="Times New Roman" w:hAnsi="Times New Roman" w:cs="Times New Roman"/>
          <w:sz w:val="28"/>
          <w:szCs w:val="28"/>
        </w:rPr>
        <w:t>Lidl</w:t>
      </w:r>
      <w:proofErr w:type="spellEnd"/>
      <w:r w:rsidRPr="00590DC1">
        <w:rPr>
          <w:rFonts w:ascii="Times New Roman" w:hAnsi="Times New Roman" w:cs="Times New Roman"/>
          <w:sz w:val="28"/>
          <w:szCs w:val="28"/>
        </w:rPr>
        <w:t xml:space="preserve"> реализовывать основные продукты питания (например, молоко и масло) по ценам не ниже себестоимости, поскольку подобная практика наносила вред конкуренции и могла привести к вытеснению мелких игроков с рынка.</w:t>
      </w:r>
    </w:p>
    <w:p w:rsidR="004A5A0C" w:rsidRPr="00E64535" w:rsidRDefault="004A5A0C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C1">
        <w:rPr>
          <w:rFonts w:ascii="Times New Roman" w:hAnsi="Times New Roman" w:cs="Times New Roman"/>
          <w:sz w:val="28"/>
          <w:szCs w:val="28"/>
        </w:rPr>
        <w:t xml:space="preserve">Существует несколько способов определения минимального уровня цены, т.е. уровня, ниже которого не разрешается опускать розничную цену. Ее нельзя опускать: ниже </w:t>
      </w:r>
      <w:r w:rsidR="004F62F7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Pr="00590DC1">
        <w:rPr>
          <w:rFonts w:ascii="Times New Roman" w:hAnsi="Times New Roman" w:cs="Times New Roman"/>
          <w:sz w:val="28"/>
          <w:szCs w:val="28"/>
        </w:rPr>
        <w:t xml:space="preserve">цены; ниже </w:t>
      </w:r>
      <w:r w:rsidR="004F62F7">
        <w:rPr>
          <w:rFonts w:ascii="Times New Roman" w:hAnsi="Times New Roman" w:cs="Times New Roman"/>
          <w:sz w:val="28"/>
          <w:szCs w:val="28"/>
        </w:rPr>
        <w:t xml:space="preserve">закупочной цены, </w:t>
      </w:r>
      <w:r w:rsidRPr="00590DC1">
        <w:rPr>
          <w:rFonts w:ascii="Times New Roman" w:hAnsi="Times New Roman" w:cs="Times New Roman"/>
          <w:sz w:val="28"/>
          <w:szCs w:val="28"/>
        </w:rPr>
        <w:t xml:space="preserve">плюс фиксированный процент (6 или 10%); ниже </w:t>
      </w:r>
      <w:r w:rsidR="004F62F7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Pr="00590DC1">
        <w:rPr>
          <w:rFonts w:ascii="Times New Roman" w:hAnsi="Times New Roman" w:cs="Times New Roman"/>
          <w:sz w:val="28"/>
          <w:szCs w:val="28"/>
        </w:rPr>
        <w:t>цены плюс совокупные издержки бизнеса.</w:t>
      </w:r>
    </w:p>
    <w:p w:rsidR="00184943" w:rsidRDefault="00184943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27" w:rsidRDefault="00240827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Default="00513B90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Default="00513B90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Default="00513B90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B90" w:rsidRDefault="00513B90" w:rsidP="001849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45" w:rsidRDefault="00767745" w:rsidP="00892DED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67745" w:rsidSect="0059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4E" w:rsidRDefault="0079494E" w:rsidP="00597FC3">
      <w:pPr>
        <w:spacing w:after="0" w:line="240" w:lineRule="auto"/>
      </w:pPr>
      <w:r>
        <w:separator/>
      </w:r>
    </w:p>
  </w:endnote>
  <w:endnote w:type="continuationSeparator" w:id="0">
    <w:p w:rsidR="0079494E" w:rsidRDefault="0079494E" w:rsidP="0059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C3" w:rsidRDefault="00597F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C3" w:rsidRDefault="00597F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C3" w:rsidRDefault="00597F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4E" w:rsidRDefault="0079494E" w:rsidP="00597FC3">
      <w:pPr>
        <w:spacing w:after="0" w:line="240" w:lineRule="auto"/>
      </w:pPr>
      <w:r>
        <w:separator/>
      </w:r>
    </w:p>
  </w:footnote>
  <w:footnote w:type="continuationSeparator" w:id="0">
    <w:p w:rsidR="0079494E" w:rsidRDefault="0079494E" w:rsidP="0059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C3" w:rsidRDefault="00597F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546725"/>
      <w:docPartObj>
        <w:docPartGallery w:val="Page Numbers (Top of Page)"/>
        <w:docPartUnique/>
      </w:docPartObj>
    </w:sdtPr>
    <w:sdtEndPr/>
    <w:sdtContent>
      <w:p w:rsidR="00597FC3" w:rsidRDefault="00597F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F4">
          <w:rPr>
            <w:noProof/>
          </w:rPr>
          <w:t>9</w:t>
        </w:r>
        <w:r>
          <w:fldChar w:fldCharType="end"/>
        </w:r>
      </w:p>
    </w:sdtContent>
  </w:sdt>
  <w:p w:rsidR="00597FC3" w:rsidRDefault="00597F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C3" w:rsidRDefault="00597F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F24"/>
    <w:multiLevelType w:val="multilevel"/>
    <w:tmpl w:val="81249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525AEA"/>
    <w:multiLevelType w:val="multilevel"/>
    <w:tmpl w:val="246EEC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282F47"/>
    <w:multiLevelType w:val="hybridMultilevel"/>
    <w:tmpl w:val="ED58E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5B7287"/>
    <w:multiLevelType w:val="multilevel"/>
    <w:tmpl w:val="ED824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2C302DE"/>
    <w:multiLevelType w:val="hybridMultilevel"/>
    <w:tmpl w:val="4080F4DE"/>
    <w:lvl w:ilvl="0" w:tplc="C27EF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A6B"/>
    <w:multiLevelType w:val="hybridMultilevel"/>
    <w:tmpl w:val="CA9671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4A7508"/>
    <w:multiLevelType w:val="hybridMultilevel"/>
    <w:tmpl w:val="151C1C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AD42D8"/>
    <w:multiLevelType w:val="hybridMultilevel"/>
    <w:tmpl w:val="3B7C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3279"/>
    <w:multiLevelType w:val="hybridMultilevel"/>
    <w:tmpl w:val="11C63DC8"/>
    <w:lvl w:ilvl="0" w:tplc="0AD26AF2">
      <w:start w:val="1"/>
      <w:numFmt w:val="bullet"/>
      <w:lvlText w:val="-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 w15:restartNumberingAfterBreak="0">
    <w:nsid w:val="2AAA666B"/>
    <w:multiLevelType w:val="hybridMultilevel"/>
    <w:tmpl w:val="CE845B24"/>
    <w:lvl w:ilvl="0" w:tplc="D6F8A7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60A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047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437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CB6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080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2D6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E1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A69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1AC"/>
    <w:multiLevelType w:val="hybridMultilevel"/>
    <w:tmpl w:val="5F222A2E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0160"/>
    <w:multiLevelType w:val="hybridMultilevel"/>
    <w:tmpl w:val="51245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C404CC"/>
    <w:multiLevelType w:val="hybridMultilevel"/>
    <w:tmpl w:val="782E128A"/>
    <w:lvl w:ilvl="0" w:tplc="961E76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2F4684"/>
    <w:multiLevelType w:val="hybridMultilevel"/>
    <w:tmpl w:val="51245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B94618"/>
    <w:multiLevelType w:val="hybridMultilevel"/>
    <w:tmpl w:val="589A7A9E"/>
    <w:lvl w:ilvl="0" w:tplc="6DA6EC3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40A6C0E"/>
    <w:multiLevelType w:val="hybridMultilevel"/>
    <w:tmpl w:val="AFA6E96E"/>
    <w:lvl w:ilvl="0" w:tplc="FD8EB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C96223"/>
    <w:multiLevelType w:val="hybridMultilevel"/>
    <w:tmpl w:val="DB14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7B09"/>
    <w:multiLevelType w:val="multilevel"/>
    <w:tmpl w:val="75AA56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2B65FF1"/>
    <w:multiLevelType w:val="hybridMultilevel"/>
    <w:tmpl w:val="BE7C2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383CEF"/>
    <w:multiLevelType w:val="hybridMultilevel"/>
    <w:tmpl w:val="D4A69B70"/>
    <w:lvl w:ilvl="0" w:tplc="B5CA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C8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6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AB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842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88F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21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6F6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600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C6AAB"/>
    <w:multiLevelType w:val="hybridMultilevel"/>
    <w:tmpl w:val="90663B9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604DF"/>
    <w:multiLevelType w:val="hybridMultilevel"/>
    <w:tmpl w:val="03D0BAC0"/>
    <w:lvl w:ilvl="0" w:tplc="E084A5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D9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A84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C2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37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1C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0F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EF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20D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04127"/>
    <w:multiLevelType w:val="hybridMultilevel"/>
    <w:tmpl w:val="8A1004A0"/>
    <w:lvl w:ilvl="0" w:tplc="D930B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4E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80C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AAD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225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6AC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8BF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21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A3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44FD5"/>
    <w:multiLevelType w:val="hybridMultilevel"/>
    <w:tmpl w:val="DB14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F2B3F"/>
    <w:multiLevelType w:val="multilevel"/>
    <w:tmpl w:val="B7083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6F755A5"/>
    <w:multiLevelType w:val="hybridMultilevel"/>
    <w:tmpl w:val="C0CE3070"/>
    <w:lvl w:ilvl="0" w:tplc="C27EF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05478"/>
    <w:multiLevelType w:val="hybridMultilevel"/>
    <w:tmpl w:val="22EC2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534CBE"/>
    <w:multiLevelType w:val="hybridMultilevel"/>
    <w:tmpl w:val="4FF24E96"/>
    <w:lvl w:ilvl="0" w:tplc="897CCE92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B1973AA"/>
    <w:multiLevelType w:val="hybridMultilevel"/>
    <w:tmpl w:val="E25E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656F2"/>
    <w:multiLevelType w:val="hybridMultilevel"/>
    <w:tmpl w:val="A83A300C"/>
    <w:lvl w:ilvl="0" w:tplc="DE2265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2833DA"/>
    <w:multiLevelType w:val="hybridMultilevel"/>
    <w:tmpl w:val="0838B544"/>
    <w:lvl w:ilvl="0" w:tplc="685E7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A20235"/>
    <w:multiLevelType w:val="hybridMultilevel"/>
    <w:tmpl w:val="A358E272"/>
    <w:lvl w:ilvl="0" w:tplc="BE2E80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075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D5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EC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48B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46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6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A35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02B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150B"/>
    <w:multiLevelType w:val="hybridMultilevel"/>
    <w:tmpl w:val="DF4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857B2"/>
    <w:multiLevelType w:val="multilevel"/>
    <w:tmpl w:val="3630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F74AE8"/>
    <w:multiLevelType w:val="hybridMultilevel"/>
    <w:tmpl w:val="DE946A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070D88"/>
    <w:multiLevelType w:val="hybridMultilevel"/>
    <w:tmpl w:val="93EE9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2"/>
  </w:num>
  <w:num w:numId="7">
    <w:abstractNumId w:val="34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23"/>
  </w:num>
  <w:num w:numId="13">
    <w:abstractNumId w:val="16"/>
  </w:num>
  <w:num w:numId="14">
    <w:abstractNumId w:val="10"/>
  </w:num>
  <w:num w:numId="15">
    <w:abstractNumId w:val="25"/>
  </w:num>
  <w:num w:numId="16">
    <w:abstractNumId w:val="28"/>
  </w:num>
  <w:num w:numId="17">
    <w:abstractNumId w:val="20"/>
  </w:num>
  <w:num w:numId="18">
    <w:abstractNumId w:val="18"/>
  </w:num>
  <w:num w:numId="19">
    <w:abstractNumId w:val="32"/>
  </w:num>
  <w:num w:numId="20">
    <w:abstractNumId w:val="4"/>
  </w:num>
  <w:num w:numId="21">
    <w:abstractNumId w:val="11"/>
  </w:num>
  <w:num w:numId="22">
    <w:abstractNumId w:val="26"/>
  </w:num>
  <w:num w:numId="23">
    <w:abstractNumId w:val="33"/>
  </w:num>
  <w:num w:numId="24">
    <w:abstractNumId w:val="21"/>
  </w:num>
  <w:num w:numId="25">
    <w:abstractNumId w:val="19"/>
  </w:num>
  <w:num w:numId="26">
    <w:abstractNumId w:val="9"/>
  </w:num>
  <w:num w:numId="27">
    <w:abstractNumId w:val="22"/>
  </w:num>
  <w:num w:numId="28">
    <w:abstractNumId w:val="31"/>
  </w:num>
  <w:num w:numId="29">
    <w:abstractNumId w:val="35"/>
  </w:num>
  <w:num w:numId="30">
    <w:abstractNumId w:val="12"/>
  </w:num>
  <w:num w:numId="31">
    <w:abstractNumId w:val="30"/>
  </w:num>
  <w:num w:numId="32">
    <w:abstractNumId w:val="29"/>
  </w:num>
  <w:num w:numId="33">
    <w:abstractNumId w:val="13"/>
  </w:num>
  <w:num w:numId="34">
    <w:abstractNumId w:val="15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79"/>
    <w:rsid w:val="000118FB"/>
    <w:rsid w:val="00030164"/>
    <w:rsid w:val="0003219F"/>
    <w:rsid w:val="000330BB"/>
    <w:rsid w:val="000613AF"/>
    <w:rsid w:val="000F5ED3"/>
    <w:rsid w:val="00111BF4"/>
    <w:rsid w:val="00131E77"/>
    <w:rsid w:val="00141FBF"/>
    <w:rsid w:val="00184943"/>
    <w:rsid w:val="001948A2"/>
    <w:rsid w:val="001B2839"/>
    <w:rsid w:val="00206147"/>
    <w:rsid w:val="00240827"/>
    <w:rsid w:val="00245CFB"/>
    <w:rsid w:val="00271C2E"/>
    <w:rsid w:val="002B3FC0"/>
    <w:rsid w:val="002B69AD"/>
    <w:rsid w:val="00320E12"/>
    <w:rsid w:val="003A7994"/>
    <w:rsid w:val="003C586C"/>
    <w:rsid w:val="0041055E"/>
    <w:rsid w:val="004327B5"/>
    <w:rsid w:val="0045153D"/>
    <w:rsid w:val="00452ECD"/>
    <w:rsid w:val="00456E78"/>
    <w:rsid w:val="004A5A0C"/>
    <w:rsid w:val="004A73C7"/>
    <w:rsid w:val="004D5E71"/>
    <w:rsid w:val="004F110A"/>
    <w:rsid w:val="004F62F7"/>
    <w:rsid w:val="00513B90"/>
    <w:rsid w:val="0052000E"/>
    <w:rsid w:val="00585163"/>
    <w:rsid w:val="00597FC3"/>
    <w:rsid w:val="005C0D82"/>
    <w:rsid w:val="006210DD"/>
    <w:rsid w:val="0064226B"/>
    <w:rsid w:val="006474F2"/>
    <w:rsid w:val="00673AC7"/>
    <w:rsid w:val="00676A98"/>
    <w:rsid w:val="006A3EFF"/>
    <w:rsid w:val="006B792B"/>
    <w:rsid w:val="006D1551"/>
    <w:rsid w:val="00700DB9"/>
    <w:rsid w:val="00722827"/>
    <w:rsid w:val="00767745"/>
    <w:rsid w:val="0079494E"/>
    <w:rsid w:val="007A1638"/>
    <w:rsid w:val="0081620F"/>
    <w:rsid w:val="008256A7"/>
    <w:rsid w:val="00826584"/>
    <w:rsid w:val="00863E79"/>
    <w:rsid w:val="00892DED"/>
    <w:rsid w:val="008A6373"/>
    <w:rsid w:val="008C1000"/>
    <w:rsid w:val="008C56D4"/>
    <w:rsid w:val="008F05FD"/>
    <w:rsid w:val="00900AD0"/>
    <w:rsid w:val="00910637"/>
    <w:rsid w:val="00914449"/>
    <w:rsid w:val="00922366"/>
    <w:rsid w:val="009359CB"/>
    <w:rsid w:val="009D1252"/>
    <w:rsid w:val="00A07EF5"/>
    <w:rsid w:val="00A16E47"/>
    <w:rsid w:val="00AB6B3F"/>
    <w:rsid w:val="00C201E4"/>
    <w:rsid w:val="00C27134"/>
    <w:rsid w:val="00C42D1F"/>
    <w:rsid w:val="00C57EB1"/>
    <w:rsid w:val="00C64BA5"/>
    <w:rsid w:val="00C86F02"/>
    <w:rsid w:val="00CA0F07"/>
    <w:rsid w:val="00CB22A8"/>
    <w:rsid w:val="00CC1797"/>
    <w:rsid w:val="00CC44D3"/>
    <w:rsid w:val="00CE4598"/>
    <w:rsid w:val="00D473F5"/>
    <w:rsid w:val="00DC06FA"/>
    <w:rsid w:val="00DC5F1B"/>
    <w:rsid w:val="00E516F8"/>
    <w:rsid w:val="00E61800"/>
    <w:rsid w:val="00E64535"/>
    <w:rsid w:val="00E67EA2"/>
    <w:rsid w:val="00EB3B2F"/>
    <w:rsid w:val="00ED4FF6"/>
    <w:rsid w:val="00EF701C"/>
    <w:rsid w:val="00F15191"/>
    <w:rsid w:val="00F23C06"/>
    <w:rsid w:val="00F316DD"/>
    <w:rsid w:val="00FC2BF5"/>
    <w:rsid w:val="00FF5FD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FD1F-43E0-42DD-A1E5-F5FC0C7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B3F"/>
    <w:rPr>
      <w:color w:val="0563C1" w:themeColor="hyperlink"/>
      <w:u w:val="single"/>
    </w:rPr>
  </w:style>
  <w:style w:type="paragraph" w:customStyle="1" w:styleId="b-articletext">
    <w:name w:val="b-article__text"/>
    <w:basedOn w:val="a"/>
    <w:rsid w:val="00AB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B6B3F"/>
  </w:style>
  <w:style w:type="character" w:styleId="a5">
    <w:name w:val="Strong"/>
    <w:basedOn w:val="a0"/>
    <w:uiPriority w:val="22"/>
    <w:qFormat/>
    <w:rsid w:val="00320E1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73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48A2"/>
    <w:rPr>
      <w:color w:val="605E5C"/>
      <w:shd w:val="clear" w:color="auto" w:fill="E1DFDD"/>
    </w:rPr>
  </w:style>
  <w:style w:type="paragraph" w:styleId="a6">
    <w:name w:val="List Paragraph"/>
    <w:aliases w:val="ПАРАГРАФ,Абзац списка для документа"/>
    <w:basedOn w:val="a"/>
    <w:link w:val="a7"/>
    <w:uiPriority w:val="34"/>
    <w:qFormat/>
    <w:rsid w:val="004D5E7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C179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9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unhideWhenUsed/>
    <w:rsid w:val="0090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8C100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ПАРАГРАФ Знак,Абзац списка для документа Знак"/>
    <w:link w:val="a6"/>
    <w:uiPriority w:val="34"/>
    <w:locked/>
    <w:rsid w:val="006474F2"/>
  </w:style>
  <w:style w:type="paragraph" w:styleId="ac">
    <w:name w:val="header"/>
    <w:basedOn w:val="a"/>
    <w:link w:val="ad"/>
    <w:uiPriority w:val="99"/>
    <w:unhideWhenUsed/>
    <w:rsid w:val="0059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7FC3"/>
  </w:style>
  <w:style w:type="paragraph" w:styleId="ae">
    <w:name w:val="footer"/>
    <w:basedOn w:val="a"/>
    <w:link w:val="af"/>
    <w:uiPriority w:val="99"/>
    <w:unhideWhenUsed/>
    <w:rsid w:val="0059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063">
          <w:marLeft w:val="0"/>
          <w:marRight w:val="7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639">
          <w:marLeft w:val="0"/>
          <w:marRight w:val="7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514">
          <w:marLeft w:val="0"/>
          <w:marRight w:val="7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7">
          <w:marLeft w:val="0"/>
          <w:marRight w:val="7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13">
          <w:marLeft w:val="0"/>
          <w:marRight w:val="7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042">
          <w:marLeft w:val="0"/>
          <w:marRight w:val="7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gav7630@mail.ru</dc:creator>
  <cp:lastModifiedBy>Светлана Алексеевна Малахова</cp:lastModifiedBy>
  <cp:revision>9</cp:revision>
  <dcterms:created xsi:type="dcterms:W3CDTF">2021-11-12T09:16:00Z</dcterms:created>
  <dcterms:modified xsi:type="dcterms:W3CDTF">2021-11-18T14:02:00Z</dcterms:modified>
</cp:coreProperties>
</file>