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16" w:rsidRPr="00022C16" w:rsidRDefault="00022C16" w:rsidP="00291F4A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Вопрос </w:t>
      </w:r>
      <w:r w:rsidR="003234E4">
        <w:rPr>
          <w:b/>
          <w:sz w:val="28"/>
          <w:szCs w:val="28"/>
          <w:lang w:val="ru-RU"/>
        </w:rPr>
        <w:t>2</w:t>
      </w:r>
    </w:p>
    <w:p w:rsidR="00291F4A" w:rsidRPr="00022C16" w:rsidRDefault="00291F4A" w:rsidP="00291F4A">
      <w:pPr>
        <w:pStyle w:val="a3"/>
        <w:spacing w:before="0" w:beforeAutospacing="0" w:after="0" w:afterAutospacing="0"/>
        <w:jc w:val="right"/>
        <w:rPr>
          <w:i/>
          <w:sz w:val="28"/>
          <w:szCs w:val="28"/>
          <w:lang w:val="ru-RU"/>
        </w:rPr>
      </w:pPr>
      <w:r w:rsidRPr="00022C16">
        <w:rPr>
          <w:i/>
          <w:sz w:val="28"/>
          <w:szCs w:val="28"/>
          <w:lang w:val="ru-RU"/>
        </w:rPr>
        <w:t>Максимов Владлен Георгиевич</w:t>
      </w:r>
    </w:p>
    <w:p w:rsidR="00291F4A" w:rsidRPr="00022C16" w:rsidRDefault="00291F4A" w:rsidP="0094154E">
      <w:pPr>
        <w:pStyle w:val="a3"/>
        <w:spacing w:before="0" w:beforeAutospacing="0" w:after="0" w:afterAutospacing="0"/>
        <w:jc w:val="right"/>
        <w:rPr>
          <w:i/>
          <w:sz w:val="28"/>
          <w:szCs w:val="28"/>
          <w:lang w:val="ru-RU"/>
        </w:rPr>
      </w:pPr>
      <w:r w:rsidRPr="00022C16">
        <w:rPr>
          <w:i/>
          <w:sz w:val="28"/>
          <w:szCs w:val="28"/>
          <w:lang w:val="ru-RU"/>
        </w:rPr>
        <w:t>Член Общественного Совета при ФАС России</w:t>
      </w:r>
    </w:p>
    <w:p w:rsidR="0094154E" w:rsidRPr="0094154E" w:rsidRDefault="0094154E" w:rsidP="0094154E">
      <w:pPr>
        <w:pStyle w:val="a3"/>
        <w:spacing w:before="0" w:beforeAutospacing="0" w:after="0" w:afterAutospacing="0"/>
        <w:jc w:val="right"/>
        <w:rPr>
          <w:i/>
          <w:sz w:val="26"/>
          <w:szCs w:val="26"/>
          <w:lang w:val="ru-RU"/>
        </w:rPr>
      </w:pPr>
    </w:p>
    <w:p w:rsidR="006C0BB3" w:rsidRPr="002C1C2A" w:rsidRDefault="00AA4349" w:rsidP="00F07349">
      <w:pPr>
        <w:pStyle w:val="ConsPlusTitle"/>
        <w:widowControl/>
        <w:tabs>
          <w:tab w:val="left" w:pos="898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sz w:val="28"/>
          <w:szCs w:val="28"/>
          <w:lang w:val="ru-RU"/>
        </w:rPr>
        <w:t>Размер платы за размещение нестационарных</w:t>
      </w:r>
      <w:r w:rsidR="00F07349" w:rsidRPr="002C1C2A">
        <w:rPr>
          <w:rFonts w:ascii="Times New Roman" w:hAnsi="Times New Roman" w:cs="Times New Roman"/>
          <w:sz w:val="28"/>
          <w:szCs w:val="28"/>
          <w:lang w:val="ru-RU"/>
        </w:rPr>
        <w:t xml:space="preserve"> торговых объектов (НТО), зависящий</w:t>
      </w:r>
      <w:r w:rsidRPr="002C1C2A">
        <w:rPr>
          <w:rFonts w:ascii="Times New Roman" w:hAnsi="Times New Roman" w:cs="Times New Roman"/>
          <w:sz w:val="28"/>
          <w:szCs w:val="28"/>
          <w:lang w:val="ru-RU"/>
        </w:rPr>
        <w:t xml:space="preserve"> от решения местных властей и не регулируемый на</w:t>
      </w:r>
      <w:r w:rsidR="00463063" w:rsidRPr="002C1C2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C1C2A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федеральном уровне. Неравные условия </w:t>
      </w:r>
      <w:r w:rsidR="0094267D" w:rsidRPr="002C1C2A">
        <w:rPr>
          <w:rFonts w:ascii="Times New Roman" w:hAnsi="Times New Roman" w:cs="Times New Roman"/>
          <w:sz w:val="28"/>
          <w:szCs w:val="28"/>
          <w:lang w:val="ru-RU"/>
        </w:rPr>
        <w:t>в сфере малого бизнеса для владельцев НТО и</w:t>
      </w:r>
      <w:r w:rsidR="00463063" w:rsidRPr="002C1C2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4267D" w:rsidRPr="002C1C2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07349" w:rsidRPr="002C1C2A">
        <w:rPr>
          <w:rFonts w:ascii="Times New Roman" w:hAnsi="Times New Roman" w:cs="Times New Roman"/>
          <w:sz w:val="28"/>
          <w:szCs w:val="28"/>
          <w:lang w:val="ru-RU"/>
        </w:rPr>
        <w:t>ладельцев стационарных объектов</w:t>
      </w:r>
    </w:p>
    <w:p w:rsidR="006C0BB3" w:rsidRPr="002C1C2A" w:rsidRDefault="006C0BB3" w:rsidP="000A006D">
      <w:pPr>
        <w:pStyle w:val="ConsPlusTitle"/>
        <w:widowControl/>
        <w:spacing w:line="276" w:lineRule="auto"/>
        <w:ind w:left="567" w:firstLine="425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BF607E" w:rsidRPr="002C1C2A" w:rsidRDefault="00BF607E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В настоящее время в г. Липецке действует Порядок предоставления права размещения нестационарных торговых объектов на территории г. Липецка, утвержденный постановлением администрации г. Ли</w:t>
      </w:r>
      <w:r w:rsidR="00F0734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пецка от 10.06.2016 </w:t>
      </w:r>
      <w:r w:rsidR="00B77408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№ 1006 (д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алее </w:t>
      </w:r>
      <w:r w:rsidR="00F0734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–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Порядок). В соответствии с указанным Порядком предприниматели – владельцы нестационарных торговых объектов осуществляют свою деятельность. </w:t>
      </w:r>
    </w:p>
    <w:p w:rsidR="009C323D" w:rsidRPr="002C1C2A" w:rsidRDefault="00BF607E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Раздел 7 указанного выше Порядка содержит положения, согласно которым предприниматели производят плату за размещение своих нестационарных торговых объектов</w:t>
      </w:r>
      <w:r w:rsidR="005B2FB0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(д</w:t>
      </w:r>
      <w:r w:rsidR="00F0734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алее –</w:t>
      </w:r>
      <w:r w:rsidR="00B77408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5B2FB0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НТО) 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на</w:t>
      </w:r>
      <w:r w:rsidR="005B2FB0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территории г. Липецка. 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Порядок содержит формулу расчета платы за размещение </w:t>
      </w:r>
      <w:r w:rsidR="006306A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НТО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, согласно которой установлена базовая ставка, а</w:t>
      </w:r>
      <w:r w:rsidR="0046306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также корректирующие коэффициенты по видам деятельности. </w:t>
      </w:r>
    </w:p>
    <w:p w:rsidR="00BF607E" w:rsidRPr="002C1C2A" w:rsidRDefault="00BF607E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Следует отметить, что данная формула появилась в 2016 году после внесения изменений в Земельный кодекс Российской Федерации, согласно которым право на</w:t>
      </w:r>
      <w:r w:rsidR="0046306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размещение НТО может предоставляться без предоставления земельного участка.</w:t>
      </w:r>
      <w:r w:rsidR="006306A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6C0BB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Посл</w:t>
      </w:r>
      <w:r w:rsidR="002E1B61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е внесения указанных изменений У</w:t>
      </w:r>
      <w:r w:rsidR="006C0BB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правление имущественных и земельных отношений Липецкой области прекратило заключать договоры аренды земельных участков с владельцами </w:t>
      </w:r>
      <w:r w:rsidR="00F0734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НТО и перестало продлевать действующие договоры.</w:t>
      </w:r>
      <w:r w:rsidR="00F0734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br/>
      </w:r>
      <w:r w:rsidR="006C0BB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Таким образом, предприниматели были вынуждены заключать договоры на право размещения нестационарных торговых объектов </w:t>
      </w:r>
      <w:r w:rsidR="002E1B61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с</w:t>
      </w:r>
      <w:r w:rsidR="0046306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 w:rsidR="002E1B61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У</w:t>
      </w:r>
      <w:r w:rsidR="00FE483A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правлением потребительского рынка администрации г. Липецка </w:t>
      </w:r>
      <w:r w:rsidR="006C0BB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в соответствии с</w:t>
      </w:r>
      <w:r w:rsidR="0046306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 w:rsidR="006C0BB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указанным выше Порядком.</w:t>
      </w:r>
    </w:p>
    <w:p w:rsidR="006C0BB3" w:rsidRPr="002C1C2A" w:rsidRDefault="006C0BB3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Данное обстоятельство </w:t>
      </w:r>
      <w:r w:rsidR="00F0734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также повлияло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на расчет платы за размещение торговых объектов.</w:t>
      </w:r>
    </w:p>
    <w:p w:rsidR="00FE483A" w:rsidRPr="002C1C2A" w:rsidRDefault="00BF607E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До 2016 года предприниматели размещали свои НТО на основании договоров аренды зем</w:t>
      </w:r>
      <w:r w:rsidR="002E1B61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ельных участков, заключенных с У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правлением имущественных и</w:t>
      </w:r>
      <w:r w:rsidR="0046306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земельных отношений Липецкой области, в которых плата за пользование земельными участками</w:t>
      </w:r>
      <w:r w:rsidR="00F0734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была ясной и понятной, </w:t>
      </w:r>
      <w:r w:rsidR="00FE483A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и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рассчитывалась исходя из</w:t>
      </w:r>
      <w:r w:rsidR="0046306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кадастровой стоимости с применением коэффициента, предусмотренного Налоговым кодексом Российской Федерации. </w:t>
      </w:r>
      <w:r w:rsidR="00F0734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После утверждения Порядка и заключения договоров на право размещения на новых условиях согласно </w:t>
      </w:r>
      <w:proofErr w:type="gramStart"/>
      <w:r w:rsidR="00F0734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Порядку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плата</w:t>
      </w:r>
      <w:proofErr w:type="gramEnd"/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для предпринимателей </w:t>
      </w:r>
      <w:r w:rsidR="00FE483A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одномоментно выросла в 10 раз, причем без какого-либо экономического обоснования.</w:t>
      </w:r>
      <w:r w:rsidR="00F0734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F07349" w:rsidRPr="002C1C2A" w:rsidRDefault="00F07349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07349" w:rsidRPr="002C1C2A" w:rsidRDefault="00F07349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1804FE" w:rsidRPr="002C1C2A" w:rsidRDefault="001804FE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Данную ситуацию можно</w:t>
      </w:r>
      <w:r w:rsidR="009C323D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разобрать на следующем примере:</w:t>
      </w:r>
    </w:p>
    <w:p w:rsidR="001804FE" w:rsidRPr="002C1C2A" w:rsidRDefault="009C323D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п</w:t>
      </w:r>
      <w:r w:rsidR="001804FE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ред</w:t>
      </w:r>
      <w:r w:rsidR="002E1B61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приниматель имел заключенный с У</w:t>
      </w:r>
      <w:r w:rsidR="001804FE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правлением имущественных и</w:t>
      </w:r>
      <w:r w:rsidR="00F0734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 w:rsidR="001804FE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земельных отношений Липецкой области договор аренды земельного участка под объекты, не</w:t>
      </w:r>
      <w:r w:rsidR="0046306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 w:rsidR="001804FE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относящиеся к объектам недвижимости. Согласно </w:t>
      </w:r>
      <w:proofErr w:type="gramStart"/>
      <w:r w:rsidR="00F0734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условиям договора</w:t>
      </w:r>
      <w:proofErr w:type="gramEnd"/>
      <w:r w:rsidR="001804FE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предприниматель принял в аренду земельный участок под остановочным комплексом с двумя киосками по адресу: г. Липецк, ул. Плеханова, </w:t>
      </w:r>
      <w:r w:rsidR="0046306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br/>
      </w:r>
      <w:r w:rsidR="001804FE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ООТ «ул. Пролетарская». Площ</w:t>
      </w:r>
      <w:r w:rsidR="00F0734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адь земельного участка 80 кв. м</w:t>
      </w:r>
      <w:r w:rsidR="001804FE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, площадь каждого НТО 14 кв.</w:t>
      </w:r>
      <w:r w:rsidR="00F0734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804FE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м. При этом арендная плата рассчит</w:t>
      </w:r>
      <w:r w:rsidR="00F0734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ывалась</w:t>
      </w:r>
      <w:r w:rsidR="001804FE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исходя из следующих показателей: </w:t>
      </w:r>
    </w:p>
    <w:p w:rsidR="001804FE" w:rsidRPr="002C1C2A" w:rsidRDefault="001804FE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Кадастровая стоимость земельного участка площадью 80 кв.</w:t>
      </w:r>
      <w:r w:rsidR="00F07349"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м</w:t>
      </w: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– </w:t>
      </w:r>
      <w:r w:rsidR="00F07349"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br/>
      </w: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590 770 руб. 40 коп.</w:t>
      </w:r>
    </w:p>
    <w:p w:rsidR="001804FE" w:rsidRPr="002C1C2A" w:rsidRDefault="001804FE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Следовательно, кадастровая стоимость за 1 кв.</w:t>
      </w:r>
      <w:r w:rsidR="00F07349"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 м</w:t>
      </w: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составляла </w:t>
      </w:r>
      <w:r w:rsidR="00F07349"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br/>
      </w: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7 384 руб. 63 коп.</w:t>
      </w:r>
    </w:p>
    <w:p w:rsidR="001804FE" w:rsidRPr="002C1C2A" w:rsidRDefault="001804FE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В соответствии с Налоговым кодексом Российской Федерации ставка арендной платы для данного вида земельного участка с учетом его использования – 2</w:t>
      </w:r>
      <w:r w:rsidR="00F07349"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 </w:t>
      </w: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%.</w:t>
      </w:r>
    </w:p>
    <w:p w:rsidR="001804FE" w:rsidRPr="002C1C2A" w:rsidRDefault="001804FE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Таким образом, арендная плата за 1 кв.</w:t>
      </w:r>
      <w:r w:rsidR="00F07349"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м</w:t>
      </w: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составляла 147 руб</w:t>
      </w:r>
      <w:r w:rsidR="00411215"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.</w:t>
      </w:r>
      <w:r w:rsidR="00F07349"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60 коп. в год.</w:t>
      </w:r>
    </w:p>
    <w:p w:rsidR="001804FE" w:rsidRPr="002C1C2A" w:rsidRDefault="001804FE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i/>
          <w:sz w:val="28"/>
          <w:szCs w:val="28"/>
          <w:lang w:val="ru-RU"/>
        </w:rPr>
        <w:t>Расчет</w:t>
      </w: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:</w:t>
      </w:r>
    </w:p>
    <w:p w:rsidR="00463063" w:rsidRPr="002C1C2A" w:rsidRDefault="00F07349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7 384,</w:t>
      </w:r>
      <w:r w:rsidR="001804FE"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63 руб. (кадастровая стоимость за 1 кв.</w:t>
      </w: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м</w:t>
      </w:r>
      <w:r w:rsidR="001804FE"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) х 2 % ставка арендной платы</w:t>
      </w: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= 147,</w:t>
      </w:r>
      <w:r w:rsidR="001804FE"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69 руб. за 1 </w:t>
      </w: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кв. м </w:t>
      </w:r>
      <w:r w:rsidR="001804FE"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земельного участка.</w:t>
      </w:r>
    </w:p>
    <w:p w:rsidR="001804FE" w:rsidRPr="002C1C2A" w:rsidRDefault="001804FE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После вступления в силу Порядка расчет изменился. Плата за размещение для</w:t>
      </w:r>
      <w:r w:rsidR="0046306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этих же НТО выросла почти в 10 раз.</w:t>
      </w:r>
    </w:p>
    <w:p w:rsidR="001804FE" w:rsidRPr="002C1C2A" w:rsidRDefault="001804FE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i/>
          <w:sz w:val="28"/>
          <w:szCs w:val="28"/>
          <w:lang w:val="ru-RU"/>
        </w:rPr>
        <w:t>Расчет</w:t>
      </w:r>
      <w:r w:rsidR="00F07349"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согласно п. 7.1.2</w:t>
      </w: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Порядка:</w:t>
      </w:r>
    </w:p>
    <w:p w:rsidR="001804FE" w:rsidRPr="002C1C2A" w:rsidRDefault="00F07349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1. </w:t>
      </w:r>
      <w:r w:rsidR="001804FE"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700 руб. х 14 </w:t>
      </w: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кв. м </w:t>
      </w:r>
      <w:r w:rsidR="001804FE"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х 0,5 = 4 900 руб. в квартал. Или 19 600 руб. в год </w:t>
      </w:r>
      <w:r w:rsidR="00463063"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br/>
      </w:r>
      <w:r w:rsidR="001804FE"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за 1 НТО.</w:t>
      </w:r>
    </w:p>
    <w:p w:rsidR="001804FE" w:rsidRPr="002C1C2A" w:rsidRDefault="00F07349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Где</w:t>
      </w:r>
    </w:p>
    <w:p w:rsidR="001804FE" w:rsidRPr="002C1C2A" w:rsidRDefault="001804FE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700 руб. – базовая ставка за 1 </w:t>
      </w:r>
      <w:r w:rsidR="00C56299"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кв. м</w:t>
      </w: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;</w:t>
      </w:r>
    </w:p>
    <w:p w:rsidR="001804FE" w:rsidRPr="002C1C2A" w:rsidRDefault="001804FE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14 </w:t>
      </w:r>
      <w:r w:rsidR="00F07349"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кв. м </w:t>
      </w: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– площадь объекта;</w:t>
      </w:r>
    </w:p>
    <w:p w:rsidR="001804FE" w:rsidRPr="002C1C2A" w:rsidRDefault="001804FE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0,5 – корректирующий коэффициент.</w:t>
      </w:r>
    </w:p>
    <w:p w:rsidR="001804FE" w:rsidRPr="002C1C2A" w:rsidRDefault="001804FE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Если учесть, что на данной остановке общественного транспорта расположены 2 НТО, каждый площадью 14 </w:t>
      </w:r>
      <w:r w:rsidR="00F07349"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кв. м</w:t>
      </w: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, то за 28 </w:t>
      </w:r>
      <w:r w:rsidR="00F07349"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кв. м </w:t>
      </w:r>
      <w:r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предпринимателю необходимо заплатить 39 200 руб. в год. Или 1 400 руб. за 1 </w:t>
      </w:r>
      <w:r w:rsidR="00F07349" w:rsidRPr="002C1C2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кв. м.</w:t>
      </w:r>
    </w:p>
    <w:p w:rsidR="00FE483A" w:rsidRPr="002C1C2A" w:rsidRDefault="001804FE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sz w:val="28"/>
          <w:szCs w:val="28"/>
          <w:lang w:val="ru-RU"/>
        </w:rPr>
        <w:t>Таким об</w:t>
      </w:r>
      <w:r w:rsidR="00411215" w:rsidRPr="002C1C2A">
        <w:rPr>
          <w:rFonts w:ascii="Times New Roman" w:hAnsi="Times New Roman" w:cs="Times New Roman"/>
          <w:sz w:val="28"/>
          <w:szCs w:val="28"/>
          <w:lang w:val="ru-RU"/>
        </w:rPr>
        <w:t>разом, мы видим</w:t>
      </w:r>
      <w:r w:rsidRPr="002C1C2A">
        <w:rPr>
          <w:rFonts w:ascii="Times New Roman" w:hAnsi="Times New Roman" w:cs="Times New Roman"/>
          <w:sz w:val="28"/>
          <w:szCs w:val="28"/>
          <w:lang w:val="ru-RU"/>
        </w:rPr>
        <w:t xml:space="preserve">, что плата за 1 </w:t>
      </w:r>
      <w:r w:rsidR="00C56299" w:rsidRPr="002C1C2A">
        <w:rPr>
          <w:rFonts w:ascii="Times New Roman" w:hAnsi="Times New Roman" w:cs="Times New Roman"/>
          <w:i/>
          <w:sz w:val="28"/>
          <w:szCs w:val="28"/>
          <w:lang w:val="ru-RU"/>
        </w:rPr>
        <w:t>кв. м</w:t>
      </w:r>
      <w:r w:rsidR="00C56299" w:rsidRPr="002C1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1C2A">
        <w:rPr>
          <w:rFonts w:ascii="Times New Roman" w:hAnsi="Times New Roman" w:cs="Times New Roman"/>
          <w:sz w:val="28"/>
          <w:szCs w:val="28"/>
          <w:lang w:val="ru-RU"/>
        </w:rPr>
        <w:t>выросла почти в 9,5 раз.</w:t>
      </w:r>
    </w:p>
    <w:p w:rsidR="004F4111" w:rsidRPr="002C1C2A" w:rsidRDefault="006C0BB3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Решить вопрос на муниципальном </w:t>
      </w:r>
      <w:r w:rsidR="00EB2BEA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уровне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FE483A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предпринимателям </w:t>
      </w:r>
      <w:r w:rsidR="004F4111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не удалось, так</w:t>
      </w:r>
      <w:r w:rsidR="0046306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 w:rsidR="004F4111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как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2C1C2A">
        <w:rPr>
          <w:rFonts w:ascii="Times New Roman" w:hAnsi="Times New Roman" w:cs="Times New Roman"/>
          <w:sz w:val="28"/>
          <w:szCs w:val="28"/>
          <w:lang w:val="ru-RU"/>
        </w:rPr>
        <w:t xml:space="preserve">отсутствует единая методика расчета платы за размещение </w:t>
      </w:r>
      <w:r w:rsidR="00E21247" w:rsidRPr="002C1C2A">
        <w:rPr>
          <w:rFonts w:ascii="Times New Roman" w:hAnsi="Times New Roman" w:cs="Times New Roman"/>
          <w:sz w:val="28"/>
          <w:szCs w:val="28"/>
          <w:lang w:val="ru-RU"/>
        </w:rPr>
        <w:t>НТО.</w:t>
      </w:r>
      <w:r w:rsidR="00513B9B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ледовательно, каждый муниципалитет самостоятельно определяет, какую сумму выставить предпринимателям для оплаты. </w:t>
      </w:r>
    </w:p>
    <w:p w:rsidR="006C0BB3" w:rsidRPr="002C1C2A" w:rsidRDefault="006C0BB3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Следует особо отметить, что подобный подход к расчету платы за размещение нестационарных торговых объектов нарушает законодательство</w:t>
      </w:r>
      <w:r w:rsidR="002D0DA8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о защите конкуренции, поскольку владельцы нестационарных торговых объектов</w:t>
      </w:r>
      <w:r w:rsidR="00CA1E9B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46306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br/>
      </w:r>
      <w:r w:rsidR="00513B9B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 г. Липецке </w:t>
      </w:r>
      <w:r w:rsidR="00CA1E9B" w:rsidRPr="002C1C2A">
        <w:rPr>
          <w:rFonts w:ascii="Times New Roman" w:hAnsi="Times New Roman" w:cs="Times New Roman"/>
          <w:sz w:val="28"/>
          <w:szCs w:val="28"/>
          <w:lang w:val="ru-RU"/>
        </w:rPr>
        <w:t>поставлены в неравные условия с другими хозяйствующими субъектами, которые вносят плату за пользование земельными участками из</w:t>
      </w:r>
      <w:r w:rsidR="00463063" w:rsidRPr="002C1C2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A1E9B" w:rsidRPr="002C1C2A">
        <w:rPr>
          <w:rFonts w:ascii="Times New Roman" w:hAnsi="Times New Roman" w:cs="Times New Roman"/>
          <w:sz w:val="28"/>
          <w:szCs w:val="28"/>
          <w:lang w:val="ru-RU"/>
        </w:rPr>
        <w:t>расчета за 1 кв.</w:t>
      </w:r>
      <w:r w:rsidR="002D0DA8" w:rsidRPr="002C1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6299" w:rsidRPr="002C1C2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A1E9B" w:rsidRPr="002C1C2A">
        <w:rPr>
          <w:rFonts w:ascii="Times New Roman" w:hAnsi="Times New Roman" w:cs="Times New Roman"/>
          <w:sz w:val="28"/>
          <w:szCs w:val="28"/>
          <w:lang w:val="ru-RU"/>
        </w:rPr>
        <w:t xml:space="preserve"> в десять раз меньше, чем владельцы </w:t>
      </w:r>
      <w:r w:rsidR="004F4111" w:rsidRPr="002C1C2A">
        <w:rPr>
          <w:rFonts w:ascii="Times New Roman" w:hAnsi="Times New Roman" w:cs="Times New Roman"/>
          <w:sz w:val="28"/>
          <w:szCs w:val="28"/>
          <w:lang w:val="ru-RU"/>
        </w:rPr>
        <w:t>НТО (</w:t>
      </w:r>
      <w:r w:rsidR="00CA1E9B" w:rsidRPr="002C1C2A">
        <w:rPr>
          <w:rFonts w:ascii="Times New Roman" w:hAnsi="Times New Roman" w:cs="Times New Roman"/>
          <w:sz w:val="28"/>
          <w:szCs w:val="28"/>
          <w:lang w:val="ru-RU"/>
        </w:rPr>
        <w:t>нестационарных торговых объектов</w:t>
      </w:r>
      <w:r w:rsidR="004F4111" w:rsidRPr="002C1C2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A1E9B" w:rsidRPr="002C1C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1E9B" w:rsidRPr="002C1C2A" w:rsidRDefault="00CA1E9B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 целью защиты своих прав и законных интересов предприниматели – владельцы </w:t>
      </w:r>
      <w:r w:rsidR="00B77408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НТО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 г. Липецке обратились в Прокуратуру Лип</w:t>
      </w:r>
      <w:r w:rsidR="00513B9B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ецкой области </w:t>
      </w:r>
      <w:r w:rsidR="0046306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br/>
      </w:r>
      <w:r w:rsidR="00513B9B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и УФАС</w:t>
      </w:r>
      <w:r w:rsidR="0046306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513B9B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России по Л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ипецкой области с заявлением о проверке законности начисления платы за размещение нестационарных торговых объектов на территории г. Липецка.</w:t>
      </w:r>
    </w:p>
    <w:p w:rsidR="00CA1E9B" w:rsidRPr="002C1C2A" w:rsidRDefault="00CA1E9B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После проведенных проверок контролирующими органами предприниматели получили ответ из Прокуратуры Липецкой области, в соответствии с которым </w:t>
      </w:r>
      <w:r w:rsidRPr="002C1C2A">
        <w:rPr>
          <w:rFonts w:ascii="Times New Roman" w:hAnsi="Times New Roman" w:cs="Times New Roman"/>
          <w:b w:val="0"/>
          <w:sz w:val="28"/>
          <w:szCs w:val="28"/>
          <w:u w:val="single"/>
          <w:lang w:val="ru-RU"/>
        </w:rPr>
        <w:t xml:space="preserve">контролирующий орган признает наличие проблемы </w:t>
      </w:r>
      <w:r w:rsidR="00513B9B" w:rsidRPr="002C1C2A">
        <w:rPr>
          <w:rFonts w:ascii="Times New Roman" w:hAnsi="Times New Roman" w:cs="Times New Roman"/>
          <w:b w:val="0"/>
          <w:sz w:val="28"/>
          <w:szCs w:val="28"/>
          <w:u w:val="single"/>
          <w:lang w:val="ru-RU"/>
        </w:rPr>
        <w:t xml:space="preserve">в виду </w:t>
      </w:r>
      <w:proofErr w:type="spellStart"/>
      <w:r w:rsidRPr="002C1C2A">
        <w:rPr>
          <w:rFonts w:ascii="Times New Roman" w:hAnsi="Times New Roman" w:cs="Times New Roman"/>
          <w:b w:val="0"/>
          <w:sz w:val="28"/>
          <w:szCs w:val="28"/>
          <w:u w:val="single"/>
          <w:lang w:val="ru-RU"/>
        </w:rPr>
        <w:t>неурегулированности</w:t>
      </w:r>
      <w:proofErr w:type="spellEnd"/>
      <w:r w:rsidRPr="002C1C2A">
        <w:rPr>
          <w:rFonts w:ascii="Times New Roman" w:hAnsi="Times New Roman" w:cs="Times New Roman"/>
          <w:b w:val="0"/>
          <w:sz w:val="28"/>
          <w:szCs w:val="28"/>
          <w:u w:val="single"/>
          <w:lang w:val="ru-RU"/>
        </w:rPr>
        <w:t xml:space="preserve"> данного вопроса на федеральном уровне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и информирует предпринимателей, что</w:t>
      </w:r>
      <w:r w:rsidR="0046306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 w:rsidRPr="002C1C2A">
        <w:rPr>
          <w:rFonts w:ascii="Times New Roman" w:hAnsi="Times New Roman" w:cs="Times New Roman"/>
          <w:sz w:val="28"/>
          <w:szCs w:val="28"/>
          <w:lang w:val="ru-RU"/>
        </w:rPr>
        <w:t>Прокуратурой Липецкой области данная проблема обозначена перед Генеральной прокуратурой Российской Федерации в качестве предложений по</w:t>
      </w:r>
      <w:r w:rsidR="00463063" w:rsidRPr="002C1C2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C1C2A">
        <w:rPr>
          <w:rFonts w:ascii="Times New Roman" w:hAnsi="Times New Roman" w:cs="Times New Roman"/>
          <w:sz w:val="28"/>
          <w:szCs w:val="28"/>
          <w:lang w:val="ru-RU"/>
        </w:rPr>
        <w:t>совершенствованию действующего законодательства (письмо прилагается).</w:t>
      </w:r>
    </w:p>
    <w:p w:rsidR="00A07CA4" w:rsidRPr="002C1C2A" w:rsidRDefault="00CA1E9B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Кроме того, УФАС России по Липецкой области</w:t>
      </w:r>
      <w:r w:rsidR="00EB2BEA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изучив доводы предпринимателей</w:t>
      </w:r>
      <w:r w:rsidR="00EB2BEA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,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пришло к выводу, что администрацией г. </w:t>
      </w:r>
      <w:r w:rsidRPr="002C1C2A">
        <w:rPr>
          <w:rFonts w:ascii="Times New Roman" w:hAnsi="Times New Roman" w:cs="Times New Roman"/>
          <w:sz w:val="28"/>
          <w:szCs w:val="28"/>
          <w:lang w:val="ru-RU"/>
        </w:rPr>
        <w:t>Липецка были нарушены права владельцев нестационарных торговых объектов при</w:t>
      </w:r>
      <w:r w:rsidR="00463063" w:rsidRPr="002C1C2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C1C2A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формулы расчета </w:t>
      </w:r>
      <w:r w:rsidR="00513B9B" w:rsidRPr="002C1C2A">
        <w:rPr>
          <w:rFonts w:ascii="Times New Roman" w:hAnsi="Times New Roman" w:cs="Times New Roman"/>
          <w:sz w:val="28"/>
          <w:szCs w:val="28"/>
          <w:lang w:val="ru-RU"/>
        </w:rPr>
        <w:t>платы</w:t>
      </w:r>
      <w:r w:rsidRPr="002C1C2A">
        <w:rPr>
          <w:rFonts w:ascii="Times New Roman" w:hAnsi="Times New Roman" w:cs="Times New Roman"/>
          <w:sz w:val="28"/>
          <w:szCs w:val="28"/>
          <w:lang w:val="ru-RU"/>
        </w:rPr>
        <w:t xml:space="preserve"> за размещение 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нестационарных торговых объектов. </w:t>
      </w:r>
    </w:p>
    <w:p w:rsidR="00A07CA4" w:rsidRPr="002C1C2A" w:rsidRDefault="00CA1E9B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Во-первых, формула не содержит экономического обоснования применения при расчете платы такого показателя, как базовая доходность единого налога на</w:t>
      </w:r>
      <w:r w:rsidR="0046306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вмененный доход. </w:t>
      </w:r>
    </w:p>
    <w:p w:rsidR="00A07CA4" w:rsidRPr="002C1C2A" w:rsidRDefault="00C56299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Во-вторых, с 01.01.2021 </w:t>
      </w:r>
      <w:r w:rsidR="00250F48" w:rsidRPr="002C1C2A">
        <w:rPr>
          <w:rFonts w:ascii="Times New Roman" w:hAnsi="Times New Roman" w:cs="Times New Roman"/>
          <w:sz w:val="28"/>
          <w:szCs w:val="28"/>
          <w:lang w:val="ru-RU"/>
        </w:rPr>
        <w:t>из законодательства Российской Федерации было исключено понятие единого налога на вмененный доход, в том числе и понятие базовой доходности при расчете данного налога</w:t>
      </w:r>
      <w:r w:rsidR="00250F48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Тем не менее, </w:t>
      </w:r>
      <w:r w:rsidR="00250F48" w:rsidRPr="002C1C2A"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="00463063" w:rsidRPr="002C1C2A">
        <w:rPr>
          <w:rFonts w:ascii="Times New Roman" w:hAnsi="Times New Roman" w:cs="Times New Roman"/>
          <w:sz w:val="28"/>
          <w:szCs w:val="28"/>
          <w:lang w:val="ru-RU"/>
        </w:rPr>
        <w:br/>
      </w:r>
      <w:r w:rsidR="00250F48" w:rsidRPr="002C1C2A">
        <w:rPr>
          <w:rFonts w:ascii="Times New Roman" w:hAnsi="Times New Roman" w:cs="Times New Roman"/>
          <w:sz w:val="28"/>
          <w:szCs w:val="28"/>
          <w:lang w:val="ru-RU"/>
        </w:rPr>
        <w:t>г. Липецка продолжает использовать в расчете базовую доходность</w:t>
      </w:r>
      <w:r w:rsidR="00250F48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</w:p>
    <w:p w:rsidR="00E07F18" w:rsidRPr="002C1C2A" w:rsidRDefault="00250F48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В-третьих, утвержденная администрацией г. Липецка формула расчета платы за</w:t>
      </w:r>
      <w:r w:rsidR="0046306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размещение нестационарных торговых объектов </w:t>
      </w:r>
      <w:r w:rsidRPr="002C1C2A">
        <w:rPr>
          <w:rFonts w:ascii="Times New Roman" w:hAnsi="Times New Roman" w:cs="Times New Roman"/>
          <w:sz w:val="28"/>
          <w:szCs w:val="28"/>
          <w:lang w:val="ru-RU"/>
        </w:rPr>
        <w:t>ставит в неравные условия владельцев НТО с другими хозяйствующими субъектами,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которые за</w:t>
      </w:r>
      <w:r w:rsidR="0046306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пользование земельными участками, находящимися в муниципальной собственности, платят в десять раз меньше. </w:t>
      </w:r>
    </w:p>
    <w:p w:rsidR="00C56299" w:rsidRPr="002C1C2A" w:rsidRDefault="00C56299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1E9B" w:rsidRPr="002C1C2A" w:rsidRDefault="00250F48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sz w:val="28"/>
          <w:szCs w:val="28"/>
          <w:lang w:val="ru-RU"/>
        </w:rPr>
        <w:t>Такой подход привел к нарушению администрацией г. Липецка антимонопольного законодательства, а именно ст. 15 федерального закона от</w:t>
      </w:r>
      <w:r w:rsidR="00463063" w:rsidRPr="002C1C2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56299" w:rsidRPr="002C1C2A">
        <w:rPr>
          <w:rFonts w:ascii="Times New Roman" w:hAnsi="Times New Roman" w:cs="Times New Roman"/>
          <w:sz w:val="28"/>
          <w:szCs w:val="28"/>
          <w:lang w:val="ru-RU"/>
        </w:rPr>
        <w:t>26.07.2006</w:t>
      </w:r>
      <w:r w:rsidRPr="002C1C2A">
        <w:rPr>
          <w:rFonts w:ascii="Times New Roman" w:hAnsi="Times New Roman" w:cs="Times New Roman"/>
          <w:sz w:val="28"/>
          <w:szCs w:val="28"/>
          <w:lang w:val="ru-RU"/>
        </w:rPr>
        <w:t xml:space="preserve"> № 135-ФЗ «О защите конкуренции».</w:t>
      </w:r>
    </w:p>
    <w:p w:rsidR="00513B9B" w:rsidRPr="002C1C2A" w:rsidRDefault="00E87975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При таком подходе необоснованное увеличение платы за размещение </w:t>
      </w:r>
      <w:r w:rsidR="00C5629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НТО 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может стать инструментом ликвидации нестационарных торговых объектов. </w:t>
      </w:r>
      <w:r w:rsidR="00C5629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br/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 г. Липецке администрация неоднократно пыталась увеличить плату за размещение </w:t>
      </w:r>
      <w:r w:rsidR="00C5629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НТО 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без</w:t>
      </w:r>
      <w:r w:rsidR="00C5629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приведения </w:t>
      </w:r>
      <w:r w:rsidR="00EB2BEA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аргументированных доводов такого увеличения</w:t>
      </w:r>
      <w:r w:rsidR="00513B9B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даже в</w:t>
      </w:r>
      <w:r w:rsidR="00463063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 </w:t>
      </w:r>
      <w:proofErr w:type="spellStart"/>
      <w:r w:rsidR="00513B9B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пандемийный</w:t>
      </w:r>
      <w:proofErr w:type="spellEnd"/>
      <w:r w:rsidR="00513B9B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период</w:t>
      </w:r>
      <w:r w:rsidR="00EB2BEA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513B9B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Тогда предпринимателям помогли депутаты Липецкого городского Совета депутатов, однако такая поддержка не может быть бесконечной.</w:t>
      </w:r>
      <w:r w:rsidR="00EB2BEA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463063" w:rsidRPr="002C1C2A" w:rsidRDefault="00EB2BEA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Предпринимателями подсчитано, что в случае увеличения платы</w:t>
      </w:r>
      <w:r w:rsidR="00C5629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br/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за размещение </w:t>
      </w:r>
      <w:r w:rsidR="00C5629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НТО 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в г</w:t>
      </w:r>
      <w:r w:rsidR="00C5629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. Липецке до 200 000 руб. в год</w:t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владельцы нестационарных торговых объектов будут вынуждены закрывать свой бизнес в связи</w:t>
      </w:r>
      <w:r w:rsidR="00C5629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br/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с нерентабельностью.</w:t>
      </w:r>
      <w:r w:rsidR="00D8417D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B72281" w:rsidRPr="002C1C2A" w:rsidRDefault="00E21247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sz w:val="28"/>
          <w:szCs w:val="28"/>
          <w:lang w:val="ru-RU"/>
        </w:rPr>
        <w:t xml:space="preserve">Проблема завышенной и </w:t>
      </w:r>
      <w:r w:rsidR="00C56299" w:rsidRPr="002C1C2A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экономически </w:t>
      </w:r>
      <w:r w:rsidRPr="002C1C2A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AA659D" w:rsidRPr="002C1C2A">
        <w:rPr>
          <w:rFonts w:ascii="Times New Roman" w:hAnsi="Times New Roman" w:cs="Times New Roman"/>
          <w:sz w:val="28"/>
          <w:szCs w:val="28"/>
          <w:lang w:val="ru-RU"/>
        </w:rPr>
        <w:t>обоснованной формулы расчета размещения НТО может быть актуальной в любом регионе РФ.</w:t>
      </w:r>
    </w:p>
    <w:p w:rsidR="00D25794" w:rsidRPr="002C1C2A" w:rsidRDefault="00D25794" w:rsidP="00F0734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0" w:name="_GoBack"/>
      <w:bookmarkEnd w:id="0"/>
    </w:p>
    <w:p w:rsidR="00562DBB" w:rsidRPr="002C1C2A" w:rsidRDefault="00562DBB" w:rsidP="00F073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Приложение:</w:t>
      </w:r>
    </w:p>
    <w:p w:rsidR="00562DBB" w:rsidRPr="002C1C2A" w:rsidRDefault="00562DBB" w:rsidP="00F07349">
      <w:pPr>
        <w:pStyle w:val="ConsPlusTitle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Копия ответа Прокуратуры Ли</w:t>
      </w:r>
      <w:r w:rsidR="00C5629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пецкой области от 25.01.2023</w:t>
      </w:r>
      <w:r w:rsidR="00C5629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br/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№ 71-212-2021/Он176-23.</w:t>
      </w:r>
    </w:p>
    <w:p w:rsidR="00EB2BEA" w:rsidRPr="002C1C2A" w:rsidRDefault="00562DBB" w:rsidP="00F07349">
      <w:pPr>
        <w:pStyle w:val="ConsPlusTitle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Копия Предупреждения № 5-А-23 от 07.02.2023 г. УФАС России</w:t>
      </w:r>
      <w:r w:rsidR="00C56299"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br/>
      </w:r>
      <w:r w:rsidRPr="002C1C2A">
        <w:rPr>
          <w:rFonts w:ascii="Times New Roman" w:hAnsi="Times New Roman" w:cs="Times New Roman"/>
          <w:b w:val="0"/>
          <w:sz w:val="28"/>
          <w:szCs w:val="28"/>
          <w:lang w:val="ru-RU"/>
        </w:rPr>
        <w:t>по Липецкой области об отмене или изменении актов, которые содержат признаки нарушения антимонопольного законодательства.</w:t>
      </w:r>
    </w:p>
    <w:sectPr w:rsidR="00EB2BEA" w:rsidRPr="002C1C2A" w:rsidSect="00463063">
      <w:headerReference w:type="default" r:id="rId8"/>
      <w:footerReference w:type="default" r:id="rId9"/>
      <w:pgSz w:w="11906" w:h="16838"/>
      <w:pgMar w:top="1134" w:right="567" w:bottom="851" w:left="1134" w:header="709" w:footer="1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7D" w:rsidRDefault="0050757D" w:rsidP="004821FC">
      <w:pPr>
        <w:spacing w:after="0" w:line="240" w:lineRule="auto"/>
      </w:pPr>
      <w:r>
        <w:separator/>
      </w:r>
    </w:p>
  </w:endnote>
  <w:endnote w:type="continuationSeparator" w:id="0">
    <w:p w:rsidR="0050757D" w:rsidRDefault="0050757D" w:rsidP="0048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63" w:rsidRDefault="00463063">
    <w:pPr>
      <w:pStyle w:val="afb"/>
    </w:pPr>
  </w:p>
  <w:p w:rsidR="004821FC" w:rsidRDefault="004821FC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7D" w:rsidRDefault="0050757D" w:rsidP="004821FC">
      <w:pPr>
        <w:spacing w:after="0" w:line="240" w:lineRule="auto"/>
      </w:pPr>
      <w:r>
        <w:separator/>
      </w:r>
    </w:p>
  </w:footnote>
  <w:footnote w:type="continuationSeparator" w:id="0">
    <w:p w:rsidR="0050757D" w:rsidRDefault="0050757D" w:rsidP="0048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287351"/>
      <w:docPartObj>
        <w:docPartGallery w:val="Page Numbers (Top of Page)"/>
        <w:docPartUnique/>
      </w:docPartObj>
    </w:sdtPr>
    <w:sdtEndPr/>
    <w:sdtContent>
      <w:p w:rsidR="00463063" w:rsidRDefault="00463063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F44" w:rsidRPr="00D24F44">
          <w:rPr>
            <w:noProof/>
            <w:lang w:val="ru-RU"/>
          </w:rPr>
          <w:t>4</w:t>
        </w:r>
        <w:r>
          <w:fldChar w:fldCharType="end"/>
        </w:r>
      </w:p>
    </w:sdtContent>
  </w:sdt>
  <w:p w:rsidR="00463063" w:rsidRDefault="0046306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0CED"/>
    <w:multiLevelType w:val="hybridMultilevel"/>
    <w:tmpl w:val="9892A9C0"/>
    <w:lvl w:ilvl="0" w:tplc="D878F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961DF5"/>
    <w:multiLevelType w:val="hybridMultilevel"/>
    <w:tmpl w:val="E2C41676"/>
    <w:lvl w:ilvl="0" w:tplc="D480D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53383"/>
    <w:multiLevelType w:val="hybridMultilevel"/>
    <w:tmpl w:val="D2A6B530"/>
    <w:lvl w:ilvl="0" w:tplc="6C3CC3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C225FF9"/>
    <w:multiLevelType w:val="hybridMultilevel"/>
    <w:tmpl w:val="21E47A80"/>
    <w:lvl w:ilvl="0" w:tplc="9B6E470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32E66766"/>
    <w:multiLevelType w:val="hybridMultilevel"/>
    <w:tmpl w:val="4F387C5C"/>
    <w:lvl w:ilvl="0" w:tplc="B63EF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474A0A"/>
    <w:multiLevelType w:val="hybridMultilevel"/>
    <w:tmpl w:val="3AB46B4E"/>
    <w:lvl w:ilvl="0" w:tplc="338CF75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4797354E"/>
    <w:multiLevelType w:val="hybridMultilevel"/>
    <w:tmpl w:val="9DD2072E"/>
    <w:lvl w:ilvl="0" w:tplc="28FE20C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669B21B0"/>
    <w:multiLevelType w:val="hybridMultilevel"/>
    <w:tmpl w:val="3CF02012"/>
    <w:lvl w:ilvl="0" w:tplc="514C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6A"/>
    <w:rsid w:val="00017A3F"/>
    <w:rsid w:val="00022C16"/>
    <w:rsid w:val="00023EBF"/>
    <w:rsid w:val="00050F7A"/>
    <w:rsid w:val="00074E8B"/>
    <w:rsid w:val="00077A4C"/>
    <w:rsid w:val="00091C12"/>
    <w:rsid w:val="000A006D"/>
    <w:rsid w:val="000A0AE2"/>
    <w:rsid w:val="000B6EB1"/>
    <w:rsid w:val="000C6C37"/>
    <w:rsid w:val="000D4593"/>
    <w:rsid w:val="000E113C"/>
    <w:rsid w:val="000F3B50"/>
    <w:rsid w:val="00110857"/>
    <w:rsid w:val="00110D16"/>
    <w:rsid w:val="00111043"/>
    <w:rsid w:val="0011672D"/>
    <w:rsid w:val="001256BE"/>
    <w:rsid w:val="00133E16"/>
    <w:rsid w:val="00144A3B"/>
    <w:rsid w:val="00156EE9"/>
    <w:rsid w:val="00170E93"/>
    <w:rsid w:val="001804FE"/>
    <w:rsid w:val="00183727"/>
    <w:rsid w:val="00194062"/>
    <w:rsid w:val="00196D80"/>
    <w:rsid w:val="001A4841"/>
    <w:rsid w:val="001C36AF"/>
    <w:rsid w:val="001D1C69"/>
    <w:rsid w:val="001D67C0"/>
    <w:rsid w:val="001E427D"/>
    <w:rsid w:val="002014F7"/>
    <w:rsid w:val="002434B5"/>
    <w:rsid w:val="00250F48"/>
    <w:rsid w:val="002536C2"/>
    <w:rsid w:val="00272096"/>
    <w:rsid w:val="00291F4A"/>
    <w:rsid w:val="002A43D2"/>
    <w:rsid w:val="002B2AF7"/>
    <w:rsid w:val="002C144B"/>
    <w:rsid w:val="002C1C2A"/>
    <w:rsid w:val="002C2D14"/>
    <w:rsid w:val="002D0CBB"/>
    <w:rsid w:val="002D0DA8"/>
    <w:rsid w:val="002D2CBB"/>
    <w:rsid w:val="002E00BB"/>
    <w:rsid w:val="002E1B61"/>
    <w:rsid w:val="00302491"/>
    <w:rsid w:val="003100AF"/>
    <w:rsid w:val="00314412"/>
    <w:rsid w:val="003227AE"/>
    <w:rsid w:val="003234E4"/>
    <w:rsid w:val="00326B8B"/>
    <w:rsid w:val="00330C3F"/>
    <w:rsid w:val="00345EEC"/>
    <w:rsid w:val="003828BD"/>
    <w:rsid w:val="003874B7"/>
    <w:rsid w:val="003A24C1"/>
    <w:rsid w:val="003B0A31"/>
    <w:rsid w:val="003B3F33"/>
    <w:rsid w:val="003B3F5E"/>
    <w:rsid w:val="003E3C70"/>
    <w:rsid w:val="003E5DAB"/>
    <w:rsid w:val="003F029E"/>
    <w:rsid w:val="003F2C13"/>
    <w:rsid w:val="00411215"/>
    <w:rsid w:val="0041189A"/>
    <w:rsid w:val="00416118"/>
    <w:rsid w:val="0043392E"/>
    <w:rsid w:val="00441456"/>
    <w:rsid w:val="00456824"/>
    <w:rsid w:val="00463063"/>
    <w:rsid w:val="00474A8E"/>
    <w:rsid w:val="004753C6"/>
    <w:rsid w:val="0047753A"/>
    <w:rsid w:val="004821FC"/>
    <w:rsid w:val="0049476D"/>
    <w:rsid w:val="004A25C3"/>
    <w:rsid w:val="004A2D0E"/>
    <w:rsid w:val="004B5A7E"/>
    <w:rsid w:val="004B656D"/>
    <w:rsid w:val="004C463A"/>
    <w:rsid w:val="004C5D04"/>
    <w:rsid w:val="004D081D"/>
    <w:rsid w:val="004D3097"/>
    <w:rsid w:val="004E4AF9"/>
    <w:rsid w:val="004F4111"/>
    <w:rsid w:val="005029B8"/>
    <w:rsid w:val="00507151"/>
    <w:rsid w:val="0050740B"/>
    <w:rsid w:val="0050757D"/>
    <w:rsid w:val="00513B9B"/>
    <w:rsid w:val="00525538"/>
    <w:rsid w:val="0052583B"/>
    <w:rsid w:val="00543A9A"/>
    <w:rsid w:val="00555826"/>
    <w:rsid w:val="00557E95"/>
    <w:rsid w:val="00562DBB"/>
    <w:rsid w:val="005646E4"/>
    <w:rsid w:val="00583F20"/>
    <w:rsid w:val="00592A4C"/>
    <w:rsid w:val="005A0135"/>
    <w:rsid w:val="005A6278"/>
    <w:rsid w:val="005B2FB0"/>
    <w:rsid w:val="005B7D74"/>
    <w:rsid w:val="005C5EFB"/>
    <w:rsid w:val="005E2769"/>
    <w:rsid w:val="005E4CEA"/>
    <w:rsid w:val="005E605E"/>
    <w:rsid w:val="005E799E"/>
    <w:rsid w:val="005F122D"/>
    <w:rsid w:val="00606B8F"/>
    <w:rsid w:val="00621980"/>
    <w:rsid w:val="0063003F"/>
    <w:rsid w:val="006306A9"/>
    <w:rsid w:val="00640935"/>
    <w:rsid w:val="006458F3"/>
    <w:rsid w:val="0065342A"/>
    <w:rsid w:val="00667A81"/>
    <w:rsid w:val="006967DD"/>
    <w:rsid w:val="006A39CB"/>
    <w:rsid w:val="006B1A67"/>
    <w:rsid w:val="006C0BB3"/>
    <w:rsid w:val="006C0CEA"/>
    <w:rsid w:val="006C3E6E"/>
    <w:rsid w:val="006E0A8E"/>
    <w:rsid w:val="006E134D"/>
    <w:rsid w:val="006E14BD"/>
    <w:rsid w:val="006F7531"/>
    <w:rsid w:val="0070259D"/>
    <w:rsid w:val="007049B7"/>
    <w:rsid w:val="00712ECA"/>
    <w:rsid w:val="00724011"/>
    <w:rsid w:val="007407A8"/>
    <w:rsid w:val="00761B83"/>
    <w:rsid w:val="007A7F54"/>
    <w:rsid w:val="007C2DB8"/>
    <w:rsid w:val="007D2B5B"/>
    <w:rsid w:val="007F0B2F"/>
    <w:rsid w:val="007F4D9C"/>
    <w:rsid w:val="00827BDA"/>
    <w:rsid w:val="00840D8C"/>
    <w:rsid w:val="00856700"/>
    <w:rsid w:val="00862CDD"/>
    <w:rsid w:val="008739F7"/>
    <w:rsid w:val="008923C5"/>
    <w:rsid w:val="008A0EBA"/>
    <w:rsid w:val="008A1349"/>
    <w:rsid w:val="008A7E90"/>
    <w:rsid w:val="008B69CF"/>
    <w:rsid w:val="008C38AB"/>
    <w:rsid w:val="008E6403"/>
    <w:rsid w:val="00924A0C"/>
    <w:rsid w:val="0094154E"/>
    <w:rsid w:val="00941665"/>
    <w:rsid w:val="0094267D"/>
    <w:rsid w:val="00943220"/>
    <w:rsid w:val="009507A1"/>
    <w:rsid w:val="00960F4A"/>
    <w:rsid w:val="009624CC"/>
    <w:rsid w:val="00965F67"/>
    <w:rsid w:val="00987AE1"/>
    <w:rsid w:val="009928D5"/>
    <w:rsid w:val="00993746"/>
    <w:rsid w:val="009A0B31"/>
    <w:rsid w:val="009B03B4"/>
    <w:rsid w:val="009C323D"/>
    <w:rsid w:val="009D5416"/>
    <w:rsid w:val="009F262B"/>
    <w:rsid w:val="00A07CA4"/>
    <w:rsid w:val="00A11366"/>
    <w:rsid w:val="00A17106"/>
    <w:rsid w:val="00A26999"/>
    <w:rsid w:val="00A309FF"/>
    <w:rsid w:val="00A31B5F"/>
    <w:rsid w:val="00A32F70"/>
    <w:rsid w:val="00A339FE"/>
    <w:rsid w:val="00A411A2"/>
    <w:rsid w:val="00A475CD"/>
    <w:rsid w:val="00A50CE9"/>
    <w:rsid w:val="00A60DF8"/>
    <w:rsid w:val="00A70DC6"/>
    <w:rsid w:val="00A778E8"/>
    <w:rsid w:val="00A852F4"/>
    <w:rsid w:val="00A867DB"/>
    <w:rsid w:val="00A944A3"/>
    <w:rsid w:val="00A96395"/>
    <w:rsid w:val="00AA4349"/>
    <w:rsid w:val="00AA659D"/>
    <w:rsid w:val="00AB1D58"/>
    <w:rsid w:val="00AD1A1D"/>
    <w:rsid w:val="00AE709B"/>
    <w:rsid w:val="00AF4CE1"/>
    <w:rsid w:val="00AF5C36"/>
    <w:rsid w:val="00AF6519"/>
    <w:rsid w:val="00B253DE"/>
    <w:rsid w:val="00B27060"/>
    <w:rsid w:val="00B51E32"/>
    <w:rsid w:val="00B56840"/>
    <w:rsid w:val="00B72281"/>
    <w:rsid w:val="00B74172"/>
    <w:rsid w:val="00B75B67"/>
    <w:rsid w:val="00B77408"/>
    <w:rsid w:val="00B91C55"/>
    <w:rsid w:val="00BA7001"/>
    <w:rsid w:val="00BB5B78"/>
    <w:rsid w:val="00BC076A"/>
    <w:rsid w:val="00BC2DDF"/>
    <w:rsid w:val="00BD6916"/>
    <w:rsid w:val="00BE3A32"/>
    <w:rsid w:val="00BF607E"/>
    <w:rsid w:val="00C02888"/>
    <w:rsid w:val="00C04244"/>
    <w:rsid w:val="00C131FC"/>
    <w:rsid w:val="00C350CC"/>
    <w:rsid w:val="00C41625"/>
    <w:rsid w:val="00C4796C"/>
    <w:rsid w:val="00C56299"/>
    <w:rsid w:val="00C67F3E"/>
    <w:rsid w:val="00C74716"/>
    <w:rsid w:val="00C80969"/>
    <w:rsid w:val="00C8359C"/>
    <w:rsid w:val="00C85A68"/>
    <w:rsid w:val="00C860A2"/>
    <w:rsid w:val="00C92F3E"/>
    <w:rsid w:val="00CA1E9B"/>
    <w:rsid w:val="00CA65D6"/>
    <w:rsid w:val="00CB11B9"/>
    <w:rsid w:val="00CB716E"/>
    <w:rsid w:val="00D02824"/>
    <w:rsid w:val="00D03723"/>
    <w:rsid w:val="00D03965"/>
    <w:rsid w:val="00D10BF6"/>
    <w:rsid w:val="00D12CEF"/>
    <w:rsid w:val="00D241EC"/>
    <w:rsid w:val="00D24F44"/>
    <w:rsid w:val="00D25794"/>
    <w:rsid w:val="00D3253F"/>
    <w:rsid w:val="00D473BA"/>
    <w:rsid w:val="00D531C1"/>
    <w:rsid w:val="00D661A4"/>
    <w:rsid w:val="00D8417D"/>
    <w:rsid w:val="00D84AA9"/>
    <w:rsid w:val="00D87706"/>
    <w:rsid w:val="00D9083F"/>
    <w:rsid w:val="00D95E25"/>
    <w:rsid w:val="00DA521A"/>
    <w:rsid w:val="00DC144D"/>
    <w:rsid w:val="00DC160F"/>
    <w:rsid w:val="00DC2E54"/>
    <w:rsid w:val="00DC71F3"/>
    <w:rsid w:val="00DE3A7B"/>
    <w:rsid w:val="00DE6710"/>
    <w:rsid w:val="00E007D9"/>
    <w:rsid w:val="00E07F18"/>
    <w:rsid w:val="00E21247"/>
    <w:rsid w:val="00E22C12"/>
    <w:rsid w:val="00E3209E"/>
    <w:rsid w:val="00E41EC3"/>
    <w:rsid w:val="00E50D99"/>
    <w:rsid w:val="00E5449A"/>
    <w:rsid w:val="00E75DD6"/>
    <w:rsid w:val="00E7781C"/>
    <w:rsid w:val="00E83816"/>
    <w:rsid w:val="00E87975"/>
    <w:rsid w:val="00E908D8"/>
    <w:rsid w:val="00E93C6E"/>
    <w:rsid w:val="00E94043"/>
    <w:rsid w:val="00EB07A5"/>
    <w:rsid w:val="00EB2BEA"/>
    <w:rsid w:val="00EB3276"/>
    <w:rsid w:val="00EB6CCB"/>
    <w:rsid w:val="00EC3941"/>
    <w:rsid w:val="00ED0493"/>
    <w:rsid w:val="00EE0173"/>
    <w:rsid w:val="00EE0540"/>
    <w:rsid w:val="00EE7790"/>
    <w:rsid w:val="00EF0713"/>
    <w:rsid w:val="00F07349"/>
    <w:rsid w:val="00F150FA"/>
    <w:rsid w:val="00F157A6"/>
    <w:rsid w:val="00F46A7D"/>
    <w:rsid w:val="00F54F80"/>
    <w:rsid w:val="00F70FA7"/>
    <w:rsid w:val="00F75ADE"/>
    <w:rsid w:val="00F75E69"/>
    <w:rsid w:val="00F77914"/>
    <w:rsid w:val="00F84522"/>
    <w:rsid w:val="00F954D4"/>
    <w:rsid w:val="00FA3DDC"/>
    <w:rsid w:val="00FA5FF4"/>
    <w:rsid w:val="00FC4BBA"/>
    <w:rsid w:val="00FC775F"/>
    <w:rsid w:val="00FD1DE9"/>
    <w:rsid w:val="00FD7123"/>
    <w:rsid w:val="00FE3993"/>
    <w:rsid w:val="00FE483A"/>
    <w:rsid w:val="00FF39B2"/>
    <w:rsid w:val="00FF4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2A5FED2-7F99-4EEE-BD11-FEF349C7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F20"/>
  </w:style>
  <w:style w:type="paragraph" w:styleId="1">
    <w:name w:val="heading 1"/>
    <w:basedOn w:val="a"/>
    <w:next w:val="a"/>
    <w:link w:val="10"/>
    <w:uiPriority w:val="9"/>
    <w:qFormat/>
    <w:rsid w:val="00583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F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F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F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F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F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F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C076A"/>
    <w:rPr>
      <w:color w:val="0000FF"/>
      <w:u w:val="single"/>
    </w:rPr>
  </w:style>
  <w:style w:type="paragraph" w:customStyle="1" w:styleId="ConsPlusTitle">
    <w:name w:val="ConsPlusTitle"/>
    <w:rsid w:val="00BC07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C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76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83F2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83F2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67F3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3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3F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83F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83F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83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83F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83F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83F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83F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83F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83F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583F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83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583F20"/>
    <w:rPr>
      <w:b/>
      <w:bCs/>
    </w:rPr>
  </w:style>
  <w:style w:type="character" w:styleId="af0">
    <w:name w:val="Emphasis"/>
    <w:basedOn w:val="a0"/>
    <w:uiPriority w:val="20"/>
    <w:qFormat/>
    <w:rsid w:val="00583F2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83F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83F20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583F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583F20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583F20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583F20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583F20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583F20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583F20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583F20"/>
    <w:pPr>
      <w:outlineLvl w:val="9"/>
    </w:pPr>
  </w:style>
  <w:style w:type="paragraph" w:customStyle="1" w:styleId="ConsPlusNormal">
    <w:name w:val="ConsPlusNormal"/>
    <w:rsid w:val="004947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48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4821FC"/>
  </w:style>
  <w:style w:type="paragraph" w:styleId="afb">
    <w:name w:val="footer"/>
    <w:basedOn w:val="a"/>
    <w:link w:val="afc"/>
    <w:uiPriority w:val="99"/>
    <w:unhideWhenUsed/>
    <w:rsid w:val="0048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4821FC"/>
  </w:style>
  <w:style w:type="table" w:styleId="afd">
    <w:name w:val="Table Grid"/>
    <w:basedOn w:val="a1"/>
    <w:uiPriority w:val="59"/>
    <w:rsid w:val="00A8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D45D-CCCF-450E-BCA8-E8593902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Щербакова Александра Артемовна</cp:lastModifiedBy>
  <cp:revision>4</cp:revision>
  <cp:lastPrinted>2022-11-07T09:52:00Z</cp:lastPrinted>
  <dcterms:created xsi:type="dcterms:W3CDTF">2023-04-20T13:13:00Z</dcterms:created>
  <dcterms:modified xsi:type="dcterms:W3CDTF">2023-04-26T13:28:00Z</dcterms:modified>
</cp:coreProperties>
</file>