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9A" w:rsidRDefault="002C3B9A" w:rsidP="002C3B9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702A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3E1C0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2C3B9A" w:rsidRPr="0072702A" w:rsidRDefault="002C3B9A" w:rsidP="002C3B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02A">
        <w:rPr>
          <w:rFonts w:ascii="Times New Roman" w:hAnsi="Times New Roman" w:cs="Times New Roman"/>
          <w:i/>
          <w:sz w:val="28"/>
          <w:szCs w:val="28"/>
        </w:rPr>
        <w:t>Татьяна Алексеевна Каменская</w:t>
      </w:r>
    </w:p>
    <w:p w:rsidR="002C3B9A" w:rsidRPr="0072702A" w:rsidRDefault="002C3B9A" w:rsidP="002C3B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02A">
        <w:rPr>
          <w:rFonts w:ascii="Times New Roman" w:hAnsi="Times New Roman" w:cs="Times New Roman"/>
          <w:i/>
          <w:sz w:val="28"/>
          <w:szCs w:val="28"/>
        </w:rPr>
        <w:t xml:space="preserve">Член Общественного совета </w:t>
      </w:r>
    </w:p>
    <w:p w:rsidR="002C3B9A" w:rsidRPr="0072702A" w:rsidRDefault="002C3B9A" w:rsidP="002C3B9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2702A">
        <w:rPr>
          <w:rFonts w:ascii="Times New Roman" w:hAnsi="Times New Roman" w:cs="Times New Roman"/>
          <w:i/>
          <w:sz w:val="28"/>
          <w:szCs w:val="28"/>
        </w:rPr>
        <w:t>ри ФАС России</w:t>
      </w:r>
    </w:p>
    <w:p w:rsidR="002C3B9A" w:rsidRDefault="002C3B9A" w:rsidP="002C3B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B44" w:rsidRPr="002C3B9A" w:rsidRDefault="001A6B3A" w:rsidP="002C3B9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27B44" w:rsidRPr="002C3B9A">
        <w:rPr>
          <w:rFonts w:ascii="Times New Roman" w:hAnsi="Times New Roman" w:cs="Times New Roman"/>
          <w:b/>
          <w:sz w:val="28"/>
          <w:szCs w:val="28"/>
        </w:rPr>
        <w:t>Аспекты применения запрета на заключение антиконкурентных соглашений в правоприменительной практике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A6B3A">
        <w:t xml:space="preserve"> </w:t>
      </w:r>
      <w:r w:rsidRPr="001A6B3A">
        <w:rPr>
          <w:rFonts w:ascii="Times New Roman" w:hAnsi="Times New Roman" w:cs="Times New Roman"/>
          <w:b/>
          <w:sz w:val="28"/>
          <w:szCs w:val="28"/>
        </w:rPr>
        <w:t>новые методы выявления и доказывания антиконкурентных соглашений в условиях цифровой экономики; как читать «картельные» пункты Постановления Пленума ВС РФ от 04.03.2021; создание совместного предприятия для участия в конкурсе как повод для обвинений в заключении антиконкурентного соглашения; «семейные» картели.</w:t>
      </w:r>
    </w:p>
    <w:p w:rsidR="00627B44" w:rsidRPr="002C3B9A" w:rsidRDefault="00627B44" w:rsidP="002C3B9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0AC2" w:rsidRPr="002C3B9A" w:rsidRDefault="009B796F" w:rsidP="002C3B9A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B9A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D00AC2" w:rsidRPr="002C3B9A">
        <w:rPr>
          <w:rFonts w:ascii="Times New Roman" w:hAnsi="Times New Roman" w:cs="Times New Roman"/>
          <w:b/>
          <w:sz w:val="28"/>
          <w:szCs w:val="28"/>
          <w:u w:val="single"/>
        </w:rPr>
        <w:t>Современные методы выявления и доказывания антиконкурентных соглашений в условиях цифровой экономики</w:t>
      </w:r>
    </w:p>
    <w:p w:rsidR="00D00AC2" w:rsidRPr="002C3B9A" w:rsidRDefault="00D00AC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Цифровизация охватила экономики всех развитых и б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ольшинства развивающихся стран, 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а также повлияла на деятельность компаний, ведущих б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изнес в России</w:t>
      </w:r>
      <w:r w:rsidR="00C65F2C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. При этом 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динамично меняющиеся рын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ки становятся в</w:t>
      </w:r>
      <w:r w:rsidR="00C65F2C" w:rsidRPr="002C3B9A">
        <w:rPr>
          <w:rFonts w:ascii="Times New Roman" w:hAnsi="Times New Roman" w:cs="Times New Roman"/>
          <w:color w:val="231F20"/>
          <w:sz w:val="28"/>
          <w:szCs w:val="28"/>
        </w:rPr>
        <w:t>се более сложными и цифровыми.</w:t>
      </w:r>
    </w:p>
    <w:p w:rsidR="00C65F2C" w:rsidRPr="002C3B9A" w:rsidRDefault="00C65F2C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 таких условиях методы выявления и пресечения картелей должны отвечать на вызовы современных технологий. В настоящее время в практике антимонопольных органов существует две группы методов, направленных на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выявление и пресечение антиконкурентных соглашений на цифровых рынках:</w:t>
      </w:r>
    </w:p>
    <w:p w:rsidR="00C65F2C" w:rsidRPr="002C3B9A" w:rsidRDefault="00C65F2C" w:rsidP="002C3B9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проактивный, суть которого заключается в использовании результатов собственных исследований антимонопольных органов, экономического анализа, мониторинга рынка и его отраслей, а также в скрининге данных, с помощью которого происходит оценка вероятности возникновения сговора и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сравнительный анализ информационных ресурсов, находящихся в открытом доступе</w:t>
      </w:r>
      <w:r w:rsidR="00804B7D" w:rsidRPr="002C3B9A">
        <w:rPr>
          <w:rFonts w:ascii="Times New Roman" w:hAnsi="Times New Roman" w:cs="Times New Roman"/>
          <w:sz w:val="28"/>
          <w:szCs w:val="28"/>
        </w:rPr>
        <w:t>;</w:t>
      </w:r>
    </w:p>
    <w:p w:rsidR="00804B7D" w:rsidRPr="002C3B9A" w:rsidRDefault="00804B7D" w:rsidP="002C3B9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реактивный, суть которого заключается в использовании антимонопольным органом данных, полученных из разных источников публичной информации, сведений, полученных в результате рассмотрения жалоб и заявлений, и данных, собранных в ходе внеплановых проверок.</w:t>
      </w:r>
    </w:p>
    <w:p w:rsidR="00804B7D" w:rsidRPr="002C3B9A" w:rsidRDefault="00804B7D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Стоит отметить, что проактивные методы считаются более эффективными, поскольку рынок способен меняться под воздействием великого множества факторов, которые стоит учитывать.</w:t>
      </w:r>
    </w:p>
    <w:p w:rsidR="00804B7D" w:rsidRPr="002C3B9A" w:rsidRDefault="00804B7D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Наиболее яркими примерами использования проактивного метода для выявления антиконкурентных соглашений в условиях цифровой экономики является выявление и доказывание картелей, заключенных на электронных торгах, и антиконкурентных соглашений, участники которых используют в своей деятельности ценовые алгоритмы.</w:t>
      </w:r>
    </w:p>
    <w:p w:rsidR="00A932A0" w:rsidRPr="002C3B9A" w:rsidRDefault="00804B7D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Остановимся на электронных торгах.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Безусловно, 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подобные конкурентные процедуры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имеют положительный эф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фект для рынка в целом, а также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их</w:t>
      </w:r>
      <w:r w:rsidR="001A6B3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проведение направлено на обеспечение конкуренции,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активизацию 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lastRenderedPageBreak/>
        <w:t>экономических про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цессов и защиту интересов участник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ов торгов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. Вместе с тем 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сговоры на электронных торгах составляют существенную долю среди всех антиконкурентных соглашений, рассматриваемых антимонопольными органами (около 80%)</w:t>
      </w:r>
      <w:r w:rsidR="001A6B3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0D57BB" w:rsidRPr="002C3B9A" w:rsidRDefault="0008315A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Так, н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а протяжении последних нескольких лет участники 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антиконкурентных соглашений все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чаще используют различные инновационные решения для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заключения и реализации сгово</w:t>
      </w:r>
      <w:r w:rsidR="0022037A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ров на торгах, в частности,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сп</w:t>
      </w:r>
      <w:r w:rsidR="0022037A" w:rsidRPr="002C3B9A">
        <w:rPr>
          <w:rFonts w:ascii="Times New Roman" w:hAnsi="Times New Roman" w:cs="Times New Roman"/>
          <w:color w:val="231F20"/>
          <w:sz w:val="28"/>
          <w:szCs w:val="28"/>
        </w:rPr>
        <w:t>ециальное программное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обеспе</w:t>
      </w:r>
      <w:r w:rsidR="0022037A" w:rsidRPr="002C3B9A">
        <w:rPr>
          <w:rFonts w:ascii="Times New Roman" w:hAnsi="Times New Roman" w:cs="Times New Roman"/>
          <w:color w:val="231F20"/>
          <w:sz w:val="28"/>
          <w:szCs w:val="28"/>
        </w:rPr>
        <w:t>чение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— аукционных роботов, действующих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само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стоятельно в сети интернет, заключающих картельные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соглашения, которые приво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дят к</w:t>
      </w:r>
      <w:r w:rsidR="001A6B3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поддержанию и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росту цен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на торгах. </w:t>
      </w:r>
    </w:p>
    <w:p w:rsidR="002047CF" w:rsidRPr="002C3B9A" w:rsidRDefault="000D57BB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Для борьбы с использованием аукционных роботов в целях заключения и</w:t>
      </w:r>
      <w:r w:rsidR="001A6B3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реализации антиконкурентных соглашений антимонопольным ведомством был разработан скрининговый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веб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-сервис «Большой цифровой кот», который</w:t>
      </w:r>
      <w:r w:rsidR="002047CF" w:rsidRPr="002C3B9A">
        <w:rPr>
          <w:rFonts w:ascii="Times New Roman" w:hAnsi="Times New Roman" w:cs="Times New Roman"/>
          <w:color w:val="231F20"/>
          <w:sz w:val="28"/>
          <w:szCs w:val="28"/>
        </w:rPr>
        <w:t>:</w:t>
      </w:r>
    </w:p>
    <w:p w:rsidR="002047CF" w:rsidRPr="002C3B9A" w:rsidRDefault="002047CF" w:rsidP="002C3B9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6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в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автоматическом режиме анализ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ирует данные в открытом доступе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ЕИС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, СМИ) и закрытые сведения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база данных ФНС России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) на пр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едмет соответствия заданным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критериям с помощью алгоритмов; </w:t>
      </w:r>
    </w:p>
    <w:p w:rsidR="002047CF" w:rsidRPr="002C3B9A" w:rsidRDefault="00D00AC2" w:rsidP="002C3B9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6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выявляет сговоры на торга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х на основе проведенного анали</w:t>
      </w:r>
      <w:r w:rsidR="002047CF" w:rsidRPr="002C3B9A">
        <w:rPr>
          <w:rFonts w:ascii="Times New Roman" w:hAnsi="Times New Roman" w:cs="Times New Roman"/>
          <w:color w:val="231F20"/>
          <w:sz w:val="28"/>
          <w:szCs w:val="28"/>
        </w:rPr>
        <w:t>за;</w:t>
      </w:r>
    </w:p>
    <w:p w:rsidR="002047CF" w:rsidRPr="002C3B9A" w:rsidRDefault="002047CF" w:rsidP="002C3B9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6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формирует доказательную базу;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</w:p>
    <w:p w:rsidR="00D00AC2" w:rsidRPr="002C3B9A" w:rsidRDefault="002047CF" w:rsidP="002C3B9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firstLine="65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просчитывает вероятность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наличия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сговора в процентах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(скоринг)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A73292" w:rsidRPr="002C3B9A" w:rsidRDefault="00D00AC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Таким образом, в настоящее время </w:t>
      </w:r>
      <w:r w:rsidR="00A7329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регулятор обладает действенным инструментом, работа которого направлена 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на борьбу с использованием аукционных 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роботов для заключения сговоров 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на торгах. </w:t>
      </w:r>
    </w:p>
    <w:p w:rsidR="00A73292" w:rsidRPr="002C3B9A" w:rsidRDefault="00A7329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При этом само по себе использование аукционных роботов для оптимизации процесса участия в электронных торгах не является незаконным.</w:t>
      </w:r>
    </w:p>
    <w:p w:rsidR="00A73292" w:rsidRPr="002C3B9A" w:rsidRDefault="00A7329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Вместе с тем на данный момент отсутствуют какие-либо разъяснения/методические рекомендации антимонопольного органа относительно противоправного и направленного на заключение и реализацию антиконкурентных соглашений использования аукционных роботов.</w:t>
      </w:r>
    </w:p>
    <w:p w:rsidR="00A73292" w:rsidRPr="002C3B9A" w:rsidRDefault="00627B44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Такие разъяснения могли бы содержать рекомендации, которые могли бы быть использованы</w:t>
      </w:r>
      <w:r w:rsidR="00A7329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ко</w:t>
      </w:r>
      <w:r w:rsidR="003B5832" w:rsidRPr="002C3B9A">
        <w:rPr>
          <w:rFonts w:ascii="Times New Roman" w:hAnsi="Times New Roman" w:cs="Times New Roman"/>
          <w:color w:val="231F20"/>
          <w:sz w:val="28"/>
          <w:szCs w:val="28"/>
        </w:rPr>
        <w:t>мпани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ями, принимающими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регулярное </w:t>
      </w:r>
      <w:r w:rsidR="00A73292" w:rsidRPr="002C3B9A">
        <w:rPr>
          <w:rFonts w:ascii="Times New Roman" w:hAnsi="Times New Roman" w:cs="Times New Roman"/>
          <w:color w:val="231F20"/>
          <w:sz w:val="28"/>
          <w:szCs w:val="28"/>
        </w:rPr>
        <w:t>участие в торгах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, в</w:t>
      </w:r>
      <w:r w:rsidR="001A6B3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целях:</w:t>
      </w:r>
    </w:p>
    <w:p w:rsidR="003B5832" w:rsidRPr="002C3B9A" w:rsidRDefault="00627B44" w:rsidP="002C3B9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снижения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антимонопольных рисков</w:t>
      </w:r>
      <w:r w:rsidR="003B5832" w:rsidRPr="002C3B9A">
        <w:rPr>
          <w:rFonts w:ascii="Times New Roman" w:hAnsi="Times New Roman" w:cs="Times New Roman"/>
          <w:color w:val="231F20"/>
          <w:sz w:val="28"/>
          <w:szCs w:val="28"/>
        </w:rPr>
        <w:t>;</w:t>
      </w:r>
    </w:p>
    <w:p w:rsidR="003B5832" w:rsidRPr="002C3B9A" w:rsidRDefault="00D00AC2" w:rsidP="002C3B9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информиро</w:t>
      </w:r>
      <w:r w:rsidR="00627B44" w:rsidRPr="002C3B9A">
        <w:rPr>
          <w:rFonts w:ascii="Times New Roman" w:hAnsi="Times New Roman" w:cs="Times New Roman"/>
          <w:color w:val="231F20"/>
          <w:sz w:val="28"/>
          <w:szCs w:val="28"/>
        </w:rPr>
        <w:t>вания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сотрудников о том, в каких слу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чаях использование программного 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обеспечения на торгах может иметь признаки нарушения ант</w:t>
      </w:r>
      <w:r w:rsidR="003B5832" w:rsidRPr="002C3B9A">
        <w:rPr>
          <w:rFonts w:ascii="Times New Roman" w:hAnsi="Times New Roman" w:cs="Times New Roman"/>
          <w:color w:val="231F20"/>
          <w:sz w:val="28"/>
          <w:szCs w:val="28"/>
        </w:rPr>
        <w:t>имонопольного законодательства;</w:t>
      </w:r>
    </w:p>
    <w:p w:rsidR="003B5832" w:rsidRPr="002C3B9A" w:rsidRDefault="003B5832" w:rsidP="002C3B9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проведения предварительного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аудит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а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программного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обеспечения, которое сотрудники компании планируют испол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ьзовать на торгах;</w:t>
      </w:r>
    </w:p>
    <w:p w:rsidR="00D00AC2" w:rsidRPr="002C3B9A" w:rsidRDefault="00627B44" w:rsidP="002C3B9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осуществления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настроек такого программного обеспечения, отражающих намеченную стратегию автоматического участия в торгах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без рисков нарушения антимонопольного законодательства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B5832" w:rsidRPr="002C3B9A" w:rsidRDefault="003B583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 связи с этим полагаем целесообразным рекомендовать антимонопольному органу проработать вопрос, касающийся подготовки ФАС России разъяснений/методических рекомендаций, предусматривающих основные критерии признания использования аукционных роботов нарушающей антиконкурентное законодательство практикой, а также </w:t>
      </w:r>
      <w:r w:rsidR="006F14AD" w:rsidRPr="002C3B9A">
        <w:rPr>
          <w:rFonts w:ascii="Times New Roman" w:hAnsi="Times New Roman" w:cs="Times New Roman"/>
          <w:b/>
          <w:color w:val="231F20"/>
          <w:sz w:val="28"/>
          <w:szCs w:val="28"/>
        </w:rPr>
        <w:lastRenderedPageBreak/>
        <w:t>описывающих основные практики использования аукционных роботов, которые противоречат антимонопольному законодательству.</w:t>
      </w:r>
    </w:p>
    <w:p w:rsidR="00D00AC2" w:rsidRPr="002C3B9A" w:rsidRDefault="00D00AC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Помимо аукционных роботов, сфера применения которых огра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ничивается торгами, компа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нии начали использовать специальное программное обесп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ечение и</w:t>
      </w:r>
      <w:r w:rsidR="001A6B3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онлайн-платформы, поз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воляющие им анализировать конкурентную среду и</w:t>
      </w:r>
      <w:r w:rsidR="001A6B3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="001A6B3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коротк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ие сроки адаптировать свои биз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нес-стратегии к изменениям на рынке.</w:t>
      </w:r>
    </w:p>
    <w:p w:rsidR="006F14AD" w:rsidRPr="002C3B9A" w:rsidRDefault="006F14AD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Как и с аукционными роботами, использование ценовых алгоритмов само по себе также не является нарушением антимонопольного законодательства, если такое использование не содержит состава одного из существующих антимонопольных нарушений.</w:t>
      </w:r>
    </w:p>
    <w:p w:rsidR="00A932A0" w:rsidRPr="002C3B9A" w:rsidRDefault="006F14AD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Иными словами,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если методы цено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образования признаются незакон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ными при их использовании «офлайн», то велика 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вероятность того, что они будут 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являться незаконными и пр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и их использовании в Интернете. </w:t>
      </w:r>
    </w:p>
    <w:p w:rsidR="00B96FC2" w:rsidRPr="002C3B9A" w:rsidRDefault="00B96FC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B9A">
        <w:rPr>
          <w:rFonts w:ascii="Times New Roman" w:hAnsi="Times New Roman" w:cs="Times New Roman"/>
          <w:color w:val="000000"/>
          <w:sz w:val="28"/>
          <w:szCs w:val="28"/>
        </w:rPr>
        <w:t>Так, например, ФАС России в рамках дела в отношении ООО «Тривес Трейд», ООО «Медэксперт», ООО «Оптомед», ООО «Малтри», ООО «ОРТО» и</w:t>
      </w:r>
      <w:r w:rsidR="001A6B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000000"/>
          <w:sz w:val="28"/>
          <w:szCs w:val="28"/>
        </w:rPr>
        <w:t xml:space="preserve">ООО «Экотен» установила антиконкурентный сговор на рынке оптовой реализации ортопедических изделий, используемых для профилактики и лечения заболеваний опорно-двигательного аппарата человека. </w:t>
      </w:r>
    </w:p>
    <w:p w:rsidR="00B96FC2" w:rsidRPr="002C3B9A" w:rsidRDefault="00B96FC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B9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антиконкурентного соглашения данные хозяйствующие субъекты договорились об установлении и поддержании цен на реализуемую оптом продукцию на оптимально высоком для каждого поставщика уровне. </w:t>
      </w:r>
    </w:p>
    <w:p w:rsidR="00B96FC2" w:rsidRPr="002C3B9A" w:rsidRDefault="00B96FC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B9A">
        <w:rPr>
          <w:rFonts w:ascii="Times New Roman" w:hAnsi="Times New Roman" w:cs="Times New Roman"/>
          <w:color w:val="000000"/>
          <w:sz w:val="28"/>
          <w:szCs w:val="28"/>
        </w:rPr>
        <w:t>В рамках дела ФАС России было установлено, что данные компании использовали онлайн-сервис автоматического мониторинга цен (Z-PRICE), позволяющий им отслеживать цены не только у собственных покупателей, но</w:t>
      </w:r>
      <w:r w:rsidR="001A6B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A6B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6B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000000"/>
          <w:sz w:val="28"/>
          <w:szCs w:val="28"/>
        </w:rPr>
        <w:t>компаний, приобретающих аналогичные товары у других поставщиков и</w:t>
      </w:r>
      <w:r w:rsidR="001A6B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000000"/>
          <w:sz w:val="28"/>
          <w:szCs w:val="28"/>
        </w:rPr>
        <w:t>договариваться о применении «санкций» к тем розничным продавцам, которые реализовывали продукцию по ценам ниже рекомендованных. (Решение ФАС</w:t>
      </w:r>
      <w:r w:rsidR="001A6B3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000000"/>
          <w:sz w:val="28"/>
          <w:szCs w:val="28"/>
        </w:rPr>
        <w:t>России по делу № 22/01/11 -202/2019 от 20 августа 2020 года).</w:t>
      </w:r>
    </w:p>
    <w:p w:rsidR="006F14AD" w:rsidRPr="002C3B9A" w:rsidRDefault="006F14AD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При этом</w:t>
      </w:r>
      <w:r w:rsidR="00B96FC2" w:rsidRPr="002C3B9A">
        <w:rPr>
          <w:rFonts w:ascii="Times New Roman" w:hAnsi="Times New Roman" w:cs="Times New Roman"/>
          <w:color w:val="231F20"/>
          <w:sz w:val="28"/>
          <w:szCs w:val="28"/>
        </w:rPr>
        <w:t>, стоит отметить, что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 компании, вовлеченные в незаконные практик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и ценообразования, не могут из</w:t>
      </w:r>
      <w:r w:rsidR="00D00AC2" w:rsidRPr="002C3B9A">
        <w:rPr>
          <w:rFonts w:ascii="Times New Roman" w:hAnsi="Times New Roman" w:cs="Times New Roman"/>
          <w:color w:val="231F20"/>
          <w:sz w:val="28"/>
          <w:szCs w:val="28"/>
        </w:rPr>
        <w:t>бежать ответственности лишь на том основании, что их цены были определе</w:t>
      </w:r>
      <w:r w:rsidR="00A932A0" w:rsidRPr="002C3B9A">
        <w:rPr>
          <w:rFonts w:ascii="Times New Roman" w:hAnsi="Times New Roman" w:cs="Times New Roman"/>
          <w:color w:val="231F20"/>
          <w:sz w:val="28"/>
          <w:szCs w:val="28"/>
        </w:rPr>
        <w:t>ны ценовыми ал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горитмами, так как такие алгоритмы </w:t>
      </w:r>
      <w:r w:rsidR="00B96FC2" w:rsidRPr="002C3B9A">
        <w:rPr>
          <w:rFonts w:ascii="Times New Roman" w:hAnsi="Times New Roman" w:cs="Times New Roman"/>
          <w:color w:val="231F20"/>
          <w:sz w:val="28"/>
          <w:szCs w:val="28"/>
        </w:rPr>
        <w:t>остаются под ее контролем, поэтому компания несет ответственность за их действия как за свои.</w:t>
      </w:r>
    </w:p>
    <w:p w:rsidR="00D00AC2" w:rsidRPr="002C3B9A" w:rsidRDefault="00B96FC2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color w:val="231F20"/>
          <w:sz w:val="28"/>
          <w:szCs w:val="28"/>
        </w:rPr>
        <w:t>Вместе с тем, несмотря на наличие по вопросу ценовых алгоритмов рекомендаций ФАС России «О практиках в сфере использования информационных технологий в торговле, в том числе связанных с</w:t>
      </w:r>
      <w:r w:rsidR="001A6B3A">
        <w:rPr>
          <w:rFonts w:ascii="Times New Roman" w:hAnsi="Times New Roman" w:cs="Times New Roman"/>
          <w:color w:val="231F20"/>
          <w:sz w:val="28"/>
          <w:szCs w:val="28"/>
        </w:rPr>
        <w:t> </w:t>
      </w:r>
      <w:r w:rsidRPr="002C3B9A">
        <w:rPr>
          <w:rFonts w:ascii="Times New Roman" w:hAnsi="Times New Roman" w:cs="Times New Roman"/>
          <w:color w:val="231F20"/>
          <w:sz w:val="28"/>
          <w:szCs w:val="28"/>
        </w:rPr>
        <w:t>использованием ценовых алгоритмов», в которых содержится открытый перечень допустимых целей осуществления мониторинга розничных цен</w:t>
      </w:r>
      <w:r w:rsidR="003C1BA2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="00627B44" w:rsidRPr="002C3B9A">
        <w:rPr>
          <w:rFonts w:ascii="Times New Roman" w:hAnsi="Times New Roman" w:cs="Times New Roman"/>
          <w:color w:val="231F20"/>
          <w:sz w:val="28"/>
          <w:szCs w:val="28"/>
        </w:rPr>
        <w:t>в современных реалиях возникла необходимость в детальных разъяснениях антимонопольного органа, касающихся использован</w:t>
      </w:r>
      <w:r w:rsidR="00975DFA" w:rsidRPr="002C3B9A">
        <w:rPr>
          <w:rFonts w:ascii="Times New Roman" w:hAnsi="Times New Roman" w:cs="Times New Roman"/>
          <w:color w:val="231F20"/>
          <w:sz w:val="28"/>
          <w:szCs w:val="28"/>
        </w:rPr>
        <w:t>ия компаниями ценовых алгоритмов</w:t>
      </w:r>
      <w:r w:rsidR="00627B44" w:rsidRPr="002C3B9A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</w:p>
    <w:p w:rsidR="009B796F" w:rsidRDefault="009B796F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2C3B9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В связи с этим считаем необходимым рекомендовать ФАС России подготовить </w:t>
      </w:r>
      <w:r w:rsidR="00975DFA" w:rsidRPr="002C3B9A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разъяснения, касающиеся допустимых/недопустимых практик применения ценовых алгоритмов при осуществлении предпринимательской деятельности. </w:t>
      </w:r>
    </w:p>
    <w:p w:rsidR="002C3B9A" w:rsidRPr="002C3B9A" w:rsidRDefault="002C3B9A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4F30CF" w:rsidRPr="002C3B9A" w:rsidRDefault="009B796F" w:rsidP="002C3B9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3B9A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EF3DF0" w:rsidRPr="002C3B9A">
        <w:rPr>
          <w:rFonts w:ascii="Times New Roman" w:hAnsi="Times New Roman" w:cs="Times New Roman"/>
          <w:b/>
          <w:sz w:val="28"/>
          <w:szCs w:val="28"/>
          <w:u w:val="single"/>
        </w:rPr>
        <w:t>«Картельные» пункты ПП ВС РФ № 2</w:t>
      </w:r>
      <w:r w:rsidR="005E72FF" w:rsidRPr="002C3B9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B6809" w:rsidRPr="002C3B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подход к принципу </w:t>
      </w:r>
      <w:r w:rsidR="007B6809" w:rsidRPr="002C3B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</w:t>
      </w:r>
      <w:r w:rsidR="007B6809" w:rsidRPr="002C3B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B6809" w:rsidRPr="002C3B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</w:t>
      </w:r>
      <w:r w:rsidR="007B6809" w:rsidRPr="002C3B9A">
        <w:rPr>
          <w:rFonts w:ascii="Times New Roman" w:hAnsi="Times New Roman" w:cs="Times New Roman"/>
          <w:b/>
          <w:sz w:val="28"/>
          <w:szCs w:val="28"/>
          <w:u w:val="single"/>
        </w:rPr>
        <w:t>, «семейные картели» и «мнимая конкуренция»</w:t>
      </w:r>
    </w:p>
    <w:p w:rsidR="008A65BA" w:rsidRPr="002C3B9A" w:rsidRDefault="008A65BA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На наш взгляд, принятие ПП ВС РФ № 2 в части разъяснений, касающихся запрета на ограничивающие конкуренцию соглашения и согласованные действия, закрепило практику по наиболее спорным вопросам применения антимонопольного законодательства, возникающим между антимонопольными органами и бизнесом.</w:t>
      </w:r>
    </w:p>
    <w:p w:rsidR="00D84A71" w:rsidRPr="002C3B9A" w:rsidRDefault="007B6809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П</w:t>
      </w:r>
      <w:r w:rsidR="008A65BA" w:rsidRPr="002C3B9A">
        <w:rPr>
          <w:rFonts w:ascii="Times New Roman" w:hAnsi="Times New Roman" w:cs="Times New Roman"/>
          <w:sz w:val="28"/>
          <w:szCs w:val="28"/>
        </w:rPr>
        <w:t>остановлением</w:t>
      </w:r>
      <w:r w:rsidR="00140BA2" w:rsidRPr="002C3B9A">
        <w:rPr>
          <w:rFonts w:ascii="Times New Roman" w:hAnsi="Times New Roman" w:cs="Times New Roman"/>
          <w:sz w:val="28"/>
          <w:szCs w:val="28"/>
        </w:rPr>
        <w:t xml:space="preserve"> Пленума</w:t>
      </w:r>
      <w:r w:rsidR="008A65BA" w:rsidRPr="002C3B9A">
        <w:rPr>
          <w:rFonts w:ascii="Times New Roman" w:hAnsi="Times New Roman" w:cs="Times New Roman"/>
          <w:sz w:val="28"/>
          <w:szCs w:val="28"/>
        </w:rPr>
        <w:t xml:space="preserve"> наконец был </w:t>
      </w:r>
      <w:r w:rsidRPr="002C3B9A">
        <w:rPr>
          <w:rFonts w:ascii="Times New Roman" w:hAnsi="Times New Roman" w:cs="Times New Roman"/>
          <w:sz w:val="28"/>
          <w:szCs w:val="28"/>
        </w:rPr>
        <w:t xml:space="preserve">окончательно </w:t>
      </w:r>
      <w:r w:rsidR="008A65BA" w:rsidRPr="002C3B9A">
        <w:rPr>
          <w:rFonts w:ascii="Times New Roman" w:hAnsi="Times New Roman" w:cs="Times New Roman"/>
          <w:sz w:val="28"/>
          <w:szCs w:val="28"/>
        </w:rPr>
        <w:t>закреплен принцип</w:t>
      </w:r>
      <w:r w:rsidR="00D84A71" w:rsidRPr="002C3B9A">
        <w:rPr>
          <w:rFonts w:ascii="Times New Roman" w:hAnsi="Times New Roman" w:cs="Times New Roman"/>
          <w:sz w:val="28"/>
          <w:szCs w:val="28"/>
        </w:rPr>
        <w:t xml:space="preserve"> презумпции ограничения конкуренции в результате заключения картельного соглашения</w:t>
      </w:r>
      <w:r w:rsidR="008A65BA" w:rsidRPr="002C3B9A">
        <w:rPr>
          <w:rFonts w:ascii="Times New Roman" w:hAnsi="Times New Roman" w:cs="Times New Roman"/>
          <w:sz w:val="28"/>
          <w:szCs w:val="28"/>
        </w:rPr>
        <w:t xml:space="preserve"> (</w:t>
      </w:r>
      <w:r w:rsidR="008A65BA" w:rsidRPr="002C3B9A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8A65BA" w:rsidRPr="002C3B9A">
        <w:rPr>
          <w:rFonts w:ascii="Times New Roman" w:hAnsi="Times New Roman" w:cs="Times New Roman"/>
          <w:sz w:val="28"/>
          <w:szCs w:val="28"/>
        </w:rPr>
        <w:t xml:space="preserve"> </w:t>
      </w:r>
      <w:r w:rsidR="008A65BA" w:rsidRPr="002C3B9A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8A65BA" w:rsidRPr="002C3B9A">
        <w:rPr>
          <w:rFonts w:ascii="Times New Roman" w:hAnsi="Times New Roman" w:cs="Times New Roman"/>
          <w:sz w:val="28"/>
          <w:szCs w:val="28"/>
        </w:rPr>
        <w:t>)</w:t>
      </w:r>
      <w:r w:rsidR="00D84A71" w:rsidRPr="002C3B9A">
        <w:rPr>
          <w:rFonts w:ascii="Times New Roman" w:hAnsi="Times New Roman" w:cs="Times New Roman"/>
          <w:sz w:val="28"/>
          <w:szCs w:val="28"/>
        </w:rPr>
        <w:t>.</w:t>
      </w:r>
    </w:p>
    <w:p w:rsidR="008A65BA" w:rsidRPr="002C3B9A" w:rsidRDefault="008A65BA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Закрепление указанного принципа направлено на прекращение споров,</w:t>
      </w:r>
      <w:r w:rsidR="00C6423B" w:rsidRPr="002C3B9A">
        <w:rPr>
          <w:rFonts w:ascii="Times New Roman" w:hAnsi="Times New Roman" w:cs="Times New Roman"/>
          <w:sz w:val="28"/>
          <w:szCs w:val="28"/>
        </w:rPr>
        <w:t xml:space="preserve"> касающихся признания</w:t>
      </w:r>
      <w:r w:rsidRPr="002C3B9A">
        <w:rPr>
          <w:rFonts w:ascii="Times New Roman" w:hAnsi="Times New Roman" w:cs="Times New Roman"/>
          <w:sz w:val="28"/>
          <w:szCs w:val="28"/>
        </w:rPr>
        <w:t xml:space="preserve"> любого, даже нереализован</w:t>
      </w:r>
      <w:r w:rsidR="00C6423B" w:rsidRPr="002C3B9A">
        <w:rPr>
          <w:rFonts w:ascii="Times New Roman" w:hAnsi="Times New Roman" w:cs="Times New Roman"/>
          <w:sz w:val="28"/>
          <w:szCs w:val="28"/>
        </w:rPr>
        <w:t>ного картельного соглашения, ограничивающим конкуренцию.</w:t>
      </w:r>
    </w:p>
    <w:p w:rsidR="00C6423B" w:rsidRPr="002C3B9A" w:rsidRDefault="00C6423B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Теперь у антимонопольных органов действительно отсутствует необходимость доказывания негативного эффекта от картельного соглашения, достаточно лишь доказать факт его заключения.</w:t>
      </w:r>
    </w:p>
    <w:p w:rsidR="00A92CD8" w:rsidRPr="002C3B9A" w:rsidRDefault="007B6809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 свою очередь</w:t>
      </w:r>
      <w:r w:rsidR="00A92CD8" w:rsidRPr="002C3B9A">
        <w:rPr>
          <w:rFonts w:ascii="Times New Roman" w:hAnsi="Times New Roman" w:cs="Times New Roman"/>
          <w:sz w:val="28"/>
          <w:szCs w:val="28"/>
        </w:rPr>
        <w:t xml:space="preserve"> антимонопольный орган и суды придерживались данного подхода и до принятия постановления, так что его закрепление не особо повлияло на практику правоприменения.</w:t>
      </w:r>
    </w:p>
    <w:p w:rsidR="005C7E84" w:rsidRPr="002C3B9A" w:rsidRDefault="005C7E84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Однако,</w:t>
      </w:r>
      <w:r w:rsidR="007B6809" w:rsidRPr="002C3B9A">
        <w:rPr>
          <w:rFonts w:ascii="Times New Roman" w:hAnsi="Times New Roman" w:cs="Times New Roman"/>
          <w:sz w:val="28"/>
          <w:szCs w:val="28"/>
        </w:rPr>
        <w:t xml:space="preserve"> согласно позиции ВС РФ, изложенной в постановлении,</w:t>
      </w:r>
      <w:r w:rsidRPr="002C3B9A">
        <w:rPr>
          <w:rFonts w:ascii="Times New Roman" w:hAnsi="Times New Roman" w:cs="Times New Roman"/>
          <w:sz w:val="28"/>
          <w:szCs w:val="28"/>
        </w:rPr>
        <w:t xml:space="preserve"> подход </w:t>
      </w:r>
      <w:r w:rsidRPr="002C3B9A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2C3B9A">
        <w:rPr>
          <w:rFonts w:ascii="Times New Roman" w:hAnsi="Times New Roman" w:cs="Times New Roman"/>
          <w:sz w:val="28"/>
          <w:szCs w:val="28"/>
        </w:rPr>
        <w:t xml:space="preserve"> все таки не является абсолютным.</w:t>
      </w:r>
    </w:p>
    <w:p w:rsidR="00A92CD8" w:rsidRPr="002C3B9A" w:rsidRDefault="007B6809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Так, п</w:t>
      </w:r>
      <w:r w:rsidR="00A92CD8" w:rsidRPr="002C3B9A">
        <w:rPr>
          <w:rFonts w:ascii="Times New Roman" w:hAnsi="Times New Roman" w:cs="Times New Roman"/>
          <w:sz w:val="28"/>
          <w:szCs w:val="28"/>
        </w:rPr>
        <w:t>остановлением были даны наиболее</w:t>
      </w:r>
      <w:r w:rsidR="005C7E84" w:rsidRPr="002C3B9A">
        <w:rPr>
          <w:rFonts w:ascii="Times New Roman" w:hAnsi="Times New Roman" w:cs="Times New Roman"/>
          <w:sz w:val="28"/>
          <w:szCs w:val="28"/>
        </w:rPr>
        <w:t xml:space="preserve"> важные в части доказывания заключения и реализации антиконкурентных соглашений разъяснения.</w:t>
      </w:r>
    </w:p>
    <w:p w:rsidR="00FC23B2" w:rsidRPr="002C3B9A" w:rsidRDefault="007B6809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</w:t>
      </w:r>
      <w:r w:rsidR="005C7E84" w:rsidRPr="002C3B9A">
        <w:rPr>
          <w:rFonts w:ascii="Times New Roman" w:hAnsi="Times New Roman" w:cs="Times New Roman"/>
          <w:sz w:val="28"/>
          <w:szCs w:val="28"/>
        </w:rPr>
        <w:t>огласно позиции ВС РФ, изложенной в постановлении, при споре о наличии соглашения, с</w:t>
      </w:r>
      <w:r w:rsidR="00FC23B2" w:rsidRPr="002C3B9A">
        <w:rPr>
          <w:rFonts w:ascii="Times New Roman" w:hAnsi="Times New Roman" w:cs="Times New Roman"/>
          <w:sz w:val="28"/>
          <w:szCs w:val="28"/>
        </w:rPr>
        <w:t>уды должны обращать внимание на:</w:t>
      </w:r>
    </w:p>
    <w:p w:rsidR="005C7E84" w:rsidRPr="002C3B9A" w:rsidRDefault="005C7E84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 xml:space="preserve">- </w:t>
      </w:r>
      <w:r w:rsidR="00FC23B2" w:rsidRPr="002C3B9A">
        <w:rPr>
          <w:rFonts w:ascii="Times New Roman" w:hAnsi="Times New Roman" w:cs="Times New Roman"/>
          <w:sz w:val="28"/>
          <w:szCs w:val="28"/>
        </w:rPr>
        <w:t>обычный/необычный уровень снижения НМЦК для той или иной категории торгов;</w:t>
      </w:r>
    </w:p>
    <w:p w:rsidR="00FC23B2" w:rsidRPr="002C3B9A" w:rsidRDefault="00FC23B2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- признаки осуществления единой стратегии;</w:t>
      </w:r>
    </w:p>
    <w:p w:rsidR="00FC23B2" w:rsidRPr="002C3B9A" w:rsidRDefault="00FC23B2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- способность единой стратегии повлечь извлечение прибыли из картеля.</w:t>
      </w:r>
    </w:p>
    <w:p w:rsidR="00FC23B2" w:rsidRPr="002C3B9A" w:rsidRDefault="004866FB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 xml:space="preserve">Иными словами, для того, чтобы доказать наличие заключенного между участниками картельного соглашения, </w:t>
      </w:r>
      <w:r w:rsidR="00C93897" w:rsidRPr="002C3B9A">
        <w:rPr>
          <w:rFonts w:ascii="Times New Roman" w:hAnsi="Times New Roman" w:cs="Times New Roman"/>
          <w:sz w:val="28"/>
          <w:szCs w:val="28"/>
        </w:rPr>
        <w:t>антимонопол</w:t>
      </w:r>
      <w:r w:rsidR="00FE7931" w:rsidRPr="002C3B9A">
        <w:rPr>
          <w:rFonts w:ascii="Times New Roman" w:hAnsi="Times New Roman" w:cs="Times New Roman"/>
          <w:sz w:val="28"/>
          <w:szCs w:val="28"/>
        </w:rPr>
        <w:t>ьному органу, в частности,</w:t>
      </w:r>
      <w:r w:rsidR="00C93897" w:rsidRPr="002C3B9A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E7931" w:rsidRPr="002C3B9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C93897" w:rsidRPr="002C3B9A">
        <w:rPr>
          <w:rFonts w:ascii="Times New Roman" w:hAnsi="Times New Roman" w:cs="Times New Roman"/>
          <w:sz w:val="28"/>
          <w:szCs w:val="28"/>
        </w:rPr>
        <w:t xml:space="preserve"> проанализировать торги, которые проводятся в отношении определенных товаров, работ или услуг, на предмет отклонения от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="00C93897" w:rsidRPr="002C3B9A"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 w:rsidR="00FE7931" w:rsidRPr="002C3B9A">
        <w:rPr>
          <w:rFonts w:ascii="Times New Roman" w:hAnsi="Times New Roman" w:cs="Times New Roman"/>
          <w:sz w:val="28"/>
          <w:szCs w:val="28"/>
        </w:rPr>
        <w:t xml:space="preserve">на аналогичных торгах </w:t>
      </w:r>
      <w:r w:rsidR="00C93897" w:rsidRPr="002C3B9A">
        <w:rPr>
          <w:rFonts w:ascii="Times New Roman" w:hAnsi="Times New Roman" w:cs="Times New Roman"/>
          <w:sz w:val="28"/>
          <w:szCs w:val="28"/>
        </w:rPr>
        <w:t xml:space="preserve">цены </w:t>
      </w:r>
      <w:r w:rsidR="00EF11E6" w:rsidRPr="002C3B9A">
        <w:rPr>
          <w:rFonts w:ascii="Times New Roman" w:hAnsi="Times New Roman" w:cs="Times New Roman"/>
          <w:sz w:val="28"/>
          <w:szCs w:val="28"/>
        </w:rPr>
        <w:t>в результа</w:t>
      </w:r>
      <w:r w:rsidR="00FE7931" w:rsidRPr="002C3B9A">
        <w:rPr>
          <w:rFonts w:ascii="Times New Roman" w:hAnsi="Times New Roman" w:cs="Times New Roman"/>
          <w:sz w:val="28"/>
          <w:szCs w:val="28"/>
        </w:rPr>
        <w:t>те действий потенциальных участников картеля.</w:t>
      </w:r>
    </w:p>
    <w:p w:rsidR="00FE7931" w:rsidRPr="002C3B9A" w:rsidRDefault="00FE7931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Более того, антимонопольному органу необходимо будет доказать, что действия участников картеля позволяют извлечь прибыль из его реализации. Таким образом, установление факта наличия (отсутствия) заключенного антиконкурентного соглашения ставится в зависимость от получения</w:t>
      </w:r>
      <w:r w:rsidR="007B6809" w:rsidRPr="002C3B9A">
        <w:rPr>
          <w:rFonts w:ascii="Times New Roman" w:hAnsi="Times New Roman" w:cs="Times New Roman"/>
          <w:sz w:val="28"/>
          <w:szCs w:val="28"/>
        </w:rPr>
        <w:t xml:space="preserve"> (потенциальной возможности получения) прибыли его участников.</w:t>
      </w:r>
    </w:p>
    <w:p w:rsidR="00293A6B" w:rsidRPr="002C3B9A" w:rsidRDefault="00293A6B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Наиболее примечательным, на наш взгляд, является разъяснение относительно пассивного (номинального) участия в торгах или отказ от участия в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них после подачи заявки.</w:t>
      </w:r>
      <w:r w:rsidR="007B6809" w:rsidRPr="002C3B9A">
        <w:rPr>
          <w:rFonts w:ascii="Times New Roman" w:hAnsi="Times New Roman" w:cs="Times New Roman"/>
          <w:sz w:val="28"/>
          <w:szCs w:val="28"/>
        </w:rPr>
        <w:t xml:space="preserve"> В частности,</w:t>
      </w:r>
      <w:r w:rsidR="00357273" w:rsidRPr="002C3B9A">
        <w:rPr>
          <w:rFonts w:ascii="Times New Roman" w:hAnsi="Times New Roman" w:cs="Times New Roman"/>
          <w:sz w:val="28"/>
          <w:szCs w:val="28"/>
        </w:rPr>
        <w:t xml:space="preserve"> ВС РФ считает, что номинальное участие в торгах хозяйствующего субъекта, направленное исключительно на то, чтобы торги были признаны состоявшимися и в отношении них не принимались правила заключения договора с единственным поставщиком, не является следствием заключения и реализации антиконкурентного соглашения.</w:t>
      </w:r>
    </w:p>
    <w:p w:rsidR="00357273" w:rsidRPr="002C3B9A" w:rsidRDefault="00D7371B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357273" w:rsidRPr="002C3B9A">
        <w:rPr>
          <w:rFonts w:ascii="Times New Roman" w:hAnsi="Times New Roman" w:cs="Times New Roman"/>
          <w:sz w:val="28"/>
          <w:szCs w:val="28"/>
        </w:rPr>
        <w:t>, ВС РФ признал законной так называемую «мнимую»</w:t>
      </w:r>
      <w:r w:rsidR="00D301E5" w:rsidRPr="002C3B9A">
        <w:rPr>
          <w:rFonts w:ascii="Times New Roman" w:hAnsi="Times New Roman" w:cs="Times New Roman"/>
          <w:sz w:val="28"/>
          <w:szCs w:val="28"/>
        </w:rPr>
        <w:t xml:space="preserve"> конкуренцию, которая, по мнению антимонопольного органа, порождает видимость присутствия на рынке дополнительного конкурента и создает у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="00D301E5" w:rsidRPr="002C3B9A">
        <w:rPr>
          <w:rFonts w:ascii="Times New Roman" w:hAnsi="Times New Roman" w:cs="Times New Roman"/>
          <w:sz w:val="28"/>
          <w:szCs w:val="28"/>
        </w:rPr>
        <w:t>потенциальных участников рынка ложное представление как о структуре рынка, так и о величине барьеров входа, которые этому потенциальному участнику предстоит преодолеть.</w:t>
      </w:r>
    </w:p>
    <w:p w:rsidR="00D301E5" w:rsidRPr="002C3B9A" w:rsidRDefault="007B6809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Более того</w:t>
      </w:r>
      <w:r w:rsidR="00D301E5" w:rsidRPr="002C3B9A">
        <w:rPr>
          <w:rFonts w:ascii="Times New Roman" w:hAnsi="Times New Roman" w:cs="Times New Roman"/>
          <w:sz w:val="28"/>
          <w:szCs w:val="28"/>
        </w:rPr>
        <w:t>, судами уже применяется подход, изложенный в ПП ВС РФ № 2.</w:t>
      </w:r>
    </w:p>
    <w:p w:rsidR="00D301E5" w:rsidRPr="002C3B9A" w:rsidRDefault="00D301E5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Например, Арбитражный суд Волго-Вятского округа в постановлении от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18.10.2021 № Ф01-5725/2021 по делу № А28-11809/2019 указал, что взаимодействие и объединение усилий ООО «Технология диетического питания», ООО «Столовая N 1», ООО «Здоровое питание», ООО «Аудит-Консалтинг» в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ходе проведения торгов не запрещено, отметив, что законодательство не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устанавливает обязанность снижать участниками аукционов рассчитанную в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соответствии с утвержденными методиками обоснованную начальную цену государственного контракта до цены экономически невыгодной, не отвечающей интересам субъекта предпринимательской деятельности.</w:t>
      </w:r>
    </w:p>
    <w:p w:rsidR="00D301E5" w:rsidRPr="002C3B9A" w:rsidRDefault="00D301E5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 свою очередь Арбитражный суд Дальневосточного округа</w:t>
      </w:r>
      <w:r w:rsidR="007B6809" w:rsidRPr="002C3B9A">
        <w:rPr>
          <w:rFonts w:ascii="Times New Roman" w:hAnsi="Times New Roman" w:cs="Times New Roman"/>
          <w:sz w:val="28"/>
          <w:szCs w:val="28"/>
        </w:rPr>
        <w:t xml:space="preserve"> </w:t>
      </w:r>
      <w:r w:rsidRPr="002C3B9A">
        <w:rPr>
          <w:rFonts w:ascii="Times New Roman" w:hAnsi="Times New Roman" w:cs="Times New Roman"/>
          <w:sz w:val="28"/>
          <w:szCs w:val="28"/>
        </w:rPr>
        <w:t>со ссылкой на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Постановление Пленума ВС РФ № 2 обратил внимание на то, что Управление ФАС России по Хабаровскому краю не доказало, была ли получена какая-либо выгода от результатов проведенного аукциона; не обосновало, кому и какими действиями ограничена конкуренция при участии в торгах; как действия участников повлияли на установление или поддержание цен на торгах; не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доказало, что в результате действий хозяйственных обществ при участии в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торгах наступили отрицательные последствия ограничения конкуренции</w:t>
      </w:r>
      <w:r w:rsidRPr="002C3B9A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2C3B9A">
        <w:rPr>
          <w:rFonts w:ascii="Times New Roman" w:hAnsi="Times New Roman" w:cs="Times New Roman"/>
          <w:sz w:val="28"/>
          <w:szCs w:val="28"/>
        </w:rPr>
        <w:t>.</w:t>
      </w:r>
    </w:p>
    <w:p w:rsidR="00D301E5" w:rsidRPr="002C3B9A" w:rsidRDefault="00D301E5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К аналогичным выводам пришел и Тринадцатый арбитражный апелляционный суд в постановлении от 27.07.2021 № 13АП-2937/2021, 13АП-17311/2021 по делу № А56-17340/2020, отметив, также, что антимонопольный орган, вменив ООО «НДК» заключение антиконкурентного соглашения, не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провел анализа того, является ли достигнутый уровень снижения цены, который по инкриминируемому конкурсу № 0172200002117000073 составил 0,5%, обычным для торгов, которые проводятся в отношении определенных видов товаров, или нет.</w:t>
      </w:r>
    </w:p>
    <w:p w:rsidR="00C84D3F" w:rsidRPr="002C3B9A" w:rsidRDefault="00C84D3F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Таким образом, положения вышеуказанного постановления, касающиеся признания допустимой мнимой конкуренции при участии в конкурентных процедурах, позволяют рассчитывать на отступление от формального подхода к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картельным соглашениям (</w:t>
      </w:r>
      <w:r w:rsidRPr="002C3B9A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2C3B9A">
        <w:rPr>
          <w:rFonts w:ascii="Times New Roman" w:hAnsi="Times New Roman" w:cs="Times New Roman"/>
          <w:sz w:val="28"/>
          <w:szCs w:val="28"/>
        </w:rPr>
        <w:t xml:space="preserve"> </w:t>
      </w:r>
      <w:r w:rsidRPr="002C3B9A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2C3B9A">
        <w:rPr>
          <w:rFonts w:ascii="Times New Roman" w:hAnsi="Times New Roman" w:cs="Times New Roman"/>
          <w:sz w:val="28"/>
          <w:szCs w:val="28"/>
        </w:rPr>
        <w:t>) в пользу более детального изучения отношений между хозяйствующими субъектами в целях установления наличия факта существования реальной конкуренции между ними, в отсутствие которой невозможно было бы признать заключение картельного соглашения.</w:t>
      </w:r>
    </w:p>
    <w:p w:rsidR="004E7D03" w:rsidRPr="002C3B9A" w:rsidRDefault="004E7D03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Кроме того, по нашему мнению, суд поставил точку в вопросе так называемых «семейных картелей» указав, что при доказывании ограничивающего конкуренцию соглашения, заключенного м</w:t>
      </w:r>
      <w:r w:rsidR="00826D5D" w:rsidRPr="002C3B9A">
        <w:rPr>
          <w:rFonts w:ascii="Times New Roman" w:hAnsi="Times New Roman" w:cs="Times New Roman"/>
          <w:sz w:val="28"/>
          <w:szCs w:val="28"/>
        </w:rPr>
        <w:t>ежду лицами, входящими в одну группу лиц, но не отвечающими требованиям частей 7 и 8 статьи 11 ЗоЗК</w:t>
      </w:r>
      <w:r w:rsidR="00D7371B" w:rsidRPr="002C3B9A">
        <w:rPr>
          <w:rFonts w:ascii="Times New Roman" w:hAnsi="Times New Roman" w:cs="Times New Roman"/>
          <w:sz w:val="28"/>
          <w:szCs w:val="28"/>
        </w:rPr>
        <w:t xml:space="preserve"> (в части подконтрольности)</w:t>
      </w:r>
      <w:r w:rsidR="00826D5D" w:rsidRPr="002C3B9A">
        <w:rPr>
          <w:rFonts w:ascii="Times New Roman" w:hAnsi="Times New Roman" w:cs="Times New Roman"/>
          <w:sz w:val="28"/>
          <w:szCs w:val="28"/>
        </w:rPr>
        <w:t>, необходимо устанавливать наличие реальных конкурентных отношений между такими лицами.</w:t>
      </w:r>
    </w:p>
    <w:p w:rsidR="00BE5D99" w:rsidRPr="002C3B9A" w:rsidRDefault="00C84D3F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 пользу указанного вывода свидетельствует практика судов, касающаяся отмены решений антимонопольных органов о признании антиконкурентных соглашений между хозяйствующими субъектами, подконтрольными родственникам.</w:t>
      </w:r>
    </w:p>
    <w:p w:rsidR="0027607E" w:rsidRPr="002C3B9A" w:rsidRDefault="0027607E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Так, рассматривая дело признании незаконным решения антимонопольного органа, Восьмой арбитражный апелляционный суд, а впоследствии и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Арбитражный суд Западно-Сибирского округа, пришли к выводу о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недоказанности антимонопольным органом заключения между ООО «Квазар» и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ООО «Виджи» картельного соглашения в связи с отсутствием экономической необходимости конкурентной борьбы между двумя юридическими лицами с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учетом обстоятельств одного «семейного бизнеса» (единоличным учредителем и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директором ООО «Квазар» являлся Сибиряков Андрей Александрович, директором и единоличным учредителем ООО «Виджи» - Сибирякова Вера Михайловна, которые с 28.04.2000 состояли в зарегистрированном браке)</w:t>
      </w:r>
      <w:r w:rsidRPr="002C3B9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2C3B9A">
        <w:rPr>
          <w:rFonts w:ascii="Times New Roman" w:hAnsi="Times New Roman" w:cs="Times New Roman"/>
          <w:sz w:val="28"/>
          <w:szCs w:val="28"/>
        </w:rPr>
        <w:t>. При этом, необходимо отметить, что арбитражный суд первой инстанции, принимая решение до вынесения Постановления Пленума ВС РФ № 2, отказал предпринимателям-супругам в удовлетворении требований.</w:t>
      </w:r>
    </w:p>
    <w:p w:rsidR="0027607E" w:rsidRPr="002C3B9A" w:rsidRDefault="0027607E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 другом деле арбитражные суды указали на отсутствие антиконкурентного соглашения ввиду подконтрольности одной организации другой в связи с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наличием родственных связей между руководителями участников аукциона и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договора управленческих услуг (один из заявителей дал другому полномочия осуществлять управление и полный контроль за его деятельностью), отклонив доводы антимонопольного органа о том, что наличие родственных связей не</w:t>
      </w:r>
      <w:r w:rsidR="001738A2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свидетельствует о подконтрольности одной организации другой, поскольку руководство организациями осуществляют разные люди (родственники)</w:t>
      </w:r>
      <w:r w:rsidRPr="002C3B9A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2C3B9A">
        <w:rPr>
          <w:rFonts w:ascii="Times New Roman" w:hAnsi="Times New Roman" w:cs="Times New Roman"/>
          <w:sz w:val="28"/>
          <w:szCs w:val="28"/>
        </w:rPr>
        <w:t>.</w:t>
      </w:r>
    </w:p>
    <w:p w:rsidR="0027607E" w:rsidRPr="002C3B9A" w:rsidRDefault="0027607E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Несмотря на то, что судебная практика по вопросу отмены решений антимонопольных органов о заключении картельных соглашений между хозяйствующими субъектами, объединенными в одну группу лиц по признаку родства, в настоящий момент весьма малочисленна, положения Постановления Пленума ВС РФ № 2 дают повод надеяться, что практика принятия подобных решений в ближайшее время может существенно измениться в сторону признания подобных соглашений допустимыми.</w:t>
      </w:r>
    </w:p>
    <w:p w:rsidR="0027607E" w:rsidRPr="002C3B9A" w:rsidRDefault="0027607E" w:rsidP="002C3B9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Вместе с тем, необходимо все же отметить, что, несмотря на возможное решение рассмотренных вопросов на уровне Постановл</w:t>
      </w:r>
      <w:r w:rsidR="00D7371B" w:rsidRPr="002C3B9A">
        <w:rPr>
          <w:rFonts w:ascii="Times New Roman" w:hAnsi="Times New Roman" w:cs="Times New Roman"/>
          <w:sz w:val="28"/>
          <w:szCs w:val="28"/>
        </w:rPr>
        <w:t>ения Пленума ВС РФ № 2, указанные проблемы потенциально буду</w:t>
      </w:r>
      <w:r w:rsidRPr="002C3B9A">
        <w:rPr>
          <w:rFonts w:ascii="Times New Roman" w:hAnsi="Times New Roman" w:cs="Times New Roman"/>
          <w:sz w:val="28"/>
          <w:szCs w:val="28"/>
        </w:rPr>
        <w:t>т вызывать множество вопросов со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 xml:space="preserve">стороны антимонопольных органов, арбитражных судов и бизнес сообщества, и </w:t>
      </w:r>
      <w:r w:rsidRPr="002C3B9A">
        <w:rPr>
          <w:rFonts w:ascii="Times New Roman" w:hAnsi="Times New Roman" w:cs="Times New Roman"/>
          <w:b/>
          <w:sz w:val="28"/>
          <w:szCs w:val="28"/>
        </w:rPr>
        <w:t>поставить точку в такой дис</w:t>
      </w:r>
      <w:r w:rsidR="00D7371B" w:rsidRPr="002C3B9A">
        <w:rPr>
          <w:rFonts w:ascii="Times New Roman" w:hAnsi="Times New Roman" w:cs="Times New Roman"/>
          <w:b/>
          <w:sz w:val="28"/>
          <w:szCs w:val="28"/>
        </w:rPr>
        <w:t xml:space="preserve">куссии могли бы обновленные разъяснения ФАС России относительно «семейных картелей» и «мнимой конкуренции» </w:t>
      </w:r>
      <w:r w:rsidR="00D7371B" w:rsidRPr="001A6B3A">
        <w:t>сучетом</w:t>
      </w:r>
      <w:r w:rsidR="00D7371B" w:rsidRPr="002C3B9A">
        <w:rPr>
          <w:rFonts w:ascii="Times New Roman" w:hAnsi="Times New Roman" w:cs="Times New Roman"/>
          <w:b/>
          <w:sz w:val="28"/>
          <w:szCs w:val="28"/>
        </w:rPr>
        <w:t xml:space="preserve"> положений ПП ВС РФ № 2 или</w:t>
      </w:r>
      <w:r w:rsidRPr="002C3B9A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Закон о защите конкуренции, которыми будет расширен перечень исключений.</w:t>
      </w:r>
    </w:p>
    <w:p w:rsidR="00C84D3F" w:rsidRPr="002C3B9A" w:rsidRDefault="009B796F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B9A"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D7371B" w:rsidRPr="002C3B9A">
        <w:rPr>
          <w:rFonts w:ascii="Times New Roman" w:hAnsi="Times New Roman" w:cs="Times New Roman"/>
          <w:b/>
          <w:sz w:val="28"/>
          <w:szCs w:val="28"/>
          <w:u w:val="single"/>
        </w:rPr>
        <w:t>Закупочные союзы и создание конкурентами совместных предприятий для участия в закупках</w:t>
      </w:r>
    </w:p>
    <w:p w:rsidR="00351147" w:rsidRPr="002C3B9A" w:rsidRDefault="00BE588D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 xml:space="preserve">20.07.2021 ФАС России опубликовала разъяснения, касающиеся </w:t>
      </w:r>
      <w:r w:rsidR="00351147" w:rsidRPr="002C3B9A">
        <w:rPr>
          <w:rFonts w:ascii="Times New Roman" w:hAnsi="Times New Roman" w:cs="Times New Roman"/>
          <w:sz w:val="28"/>
          <w:szCs w:val="28"/>
        </w:rPr>
        <w:t>вопроса создания закупочных союзов в рамках действующего антимонопольного законодательства.</w:t>
      </w:r>
    </w:p>
    <w:p w:rsidR="00351147" w:rsidRPr="002C3B9A" w:rsidRDefault="00351147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Так, согласно официальной позиции антимонопольного органа действующее антимонопольное законодательство предусматривает возможность создания закупочных союзов. Однако, учитывая, что в Законе о защите конкуренции отсутствует понятие "закупочный союз", то осуществление совместных закупок несколькими хозяйствующими субъектами может быть признано соглашением, на которое распространяются правила, предусмотренные указанным законом.</w:t>
      </w:r>
    </w:p>
    <w:p w:rsidR="00351147" w:rsidRPr="002C3B9A" w:rsidRDefault="00351147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Таким образом, субъекты, принявшие решение организовать закупочный союз, должны осуществить проверку условий создания и функционирования такого союза на предмет наличия рисков заключения антиконкурентного соглашения.</w:t>
      </w:r>
    </w:p>
    <w:p w:rsidR="00351147" w:rsidRPr="002C3B9A" w:rsidRDefault="005E72FF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</w:t>
      </w:r>
      <w:r w:rsidR="00351147" w:rsidRPr="002C3B9A">
        <w:rPr>
          <w:rFonts w:ascii="Times New Roman" w:hAnsi="Times New Roman" w:cs="Times New Roman"/>
          <w:sz w:val="28"/>
          <w:szCs w:val="28"/>
        </w:rPr>
        <w:t>месте с тем хозяйствующим субъектам стоит учитывать, что ряд соглашений может быть заключен без рисков нарушения антимонопольного законодательства посредством:</w:t>
      </w:r>
    </w:p>
    <w:p w:rsidR="00351147" w:rsidRPr="002C3B9A" w:rsidRDefault="0035114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договора коммерческой концессии;</w:t>
      </w:r>
    </w:p>
    <w:p w:rsidR="00351147" w:rsidRPr="002C3B9A" w:rsidRDefault="0035114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соглашения, доля на рынке участников которого не превышает 20 % (для вертикальных соглашений);</w:t>
      </w:r>
    </w:p>
    <w:p w:rsidR="00351147" w:rsidRPr="002C3B9A" w:rsidRDefault="0035114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соглашения между хозяйствующими субъектами</w:t>
      </w:r>
      <w:r w:rsidR="00BE588D" w:rsidRPr="002C3B9A">
        <w:rPr>
          <w:rFonts w:ascii="Times New Roman" w:hAnsi="Times New Roman" w:cs="Times New Roman"/>
          <w:sz w:val="28"/>
          <w:szCs w:val="28"/>
        </w:rPr>
        <w:t>, не занимающими доминирующее положение</w:t>
      </w:r>
      <w:r w:rsidRPr="002C3B9A">
        <w:rPr>
          <w:rFonts w:ascii="Times New Roman" w:hAnsi="Times New Roman" w:cs="Times New Roman"/>
          <w:sz w:val="28"/>
          <w:szCs w:val="28"/>
        </w:rPr>
        <w:t>, суммарная выручка которых не превышает 400 млн. рублей (для "иных" соглашений);</w:t>
      </w:r>
    </w:p>
    <w:p w:rsidR="00351147" w:rsidRPr="002C3B9A" w:rsidRDefault="0035114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соглашения, направленного на совершенствование производства, реализации товаров или стимулирование технического, экономического прогресса, повышение конкурентоспособности товаров российского производства на мировом товарном рынке;</w:t>
      </w:r>
    </w:p>
    <w:p w:rsidR="00351147" w:rsidRPr="002C3B9A" w:rsidRDefault="0035114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соглашения, направленного на получение покупателями преимуществ, соразмерных преимуществам, полученным участниками соглашения;</w:t>
      </w:r>
    </w:p>
    <w:p w:rsidR="00351147" w:rsidRPr="002C3B9A" w:rsidRDefault="0035114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соглашения, заключенного внутри подконтрольной группы лиц;</w:t>
      </w:r>
    </w:p>
    <w:p w:rsidR="00351147" w:rsidRPr="002C3B9A" w:rsidRDefault="0035114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соглашения о совместной деятельности, заключенного с согласия антимонопольного органа;</w:t>
      </w:r>
    </w:p>
    <w:p w:rsidR="00351147" w:rsidRPr="002C3B9A" w:rsidRDefault="0035114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создания конкурентами юридического лица с согласия антимонопольного органа.</w:t>
      </w:r>
    </w:p>
    <w:p w:rsidR="00351147" w:rsidRPr="002C3B9A" w:rsidRDefault="00351147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Кроме того, действующее законодательство позволяет объединяться</w:t>
      </w:r>
      <w:r w:rsidR="005E72FF" w:rsidRPr="002C3B9A">
        <w:rPr>
          <w:rFonts w:ascii="Times New Roman" w:hAnsi="Times New Roman" w:cs="Times New Roman"/>
          <w:sz w:val="28"/>
          <w:szCs w:val="28"/>
        </w:rPr>
        <w:t xml:space="preserve"> </w:t>
      </w:r>
      <w:r w:rsidRPr="002C3B9A">
        <w:rPr>
          <w:rFonts w:ascii="Times New Roman" w:hAnsi="Times New Roman" w:cs="Times New Roman"/>
          <w:sz w:val="28"/>
          <w:szCs w:val="28"/>
        </w:rPr>
        <w:t>независимым друг от друга хозяйствующим субъектам в одну торговую сеть путем</w:t>
      </w:r>
      <w:r w:rsidR="005E72FF" w:rsidRPr="002C3B9A">
        <w:rPr>
          <w:rFonts w:ascii="Times New Roman" w:hAnsi="Times New Roman" w:cs="Times New Roman"/>
          <w:sz w:val="28"/>
          <w:szCs w:val="28"/>
        </w:rPr>
        <w:t xml:space="preserve"> </w:t>
      </w:r>
      <w:r w:rsidRPr="002C3B9A">
        <w:rPr>
          <w:rFonts w:ascii="Times New Roman" w:hAnsi="Times New Roman" w:cs="Times New Roman"/>
          <w:sz w:val="28"/>
          <w:szCs w:val="28"/>
        </w:rPr>
        <w:t>использования торговых объектов под единым коммерческим обозначением или</w:t>
      </w:r>
      <w:r w:rsidR="005E72FF" w:rsidRPr="002C3B9A">
        <w:rPr>
          <w:rFonts w:ascii="Times New Roman" w:hAnsi="Times New Roman" w:cs="Times New Roman"/>
          <w:sz w:val="28"/>
          <w:szCs w:val="28"/>
        </w:rPr>
        <w:t xml:space="preserve"> </w:t>
      </w:r>
      <w:r w:rsidRPr="002C3B9A">
        <w:rPr>
          <w:rFonts w:ascii="Times New Roman" w:hAnsi="Times New Roman" w:cs="Times New Roman"/>
          <w:sz w:val="28"/>
          <w:szCs w:val="28"/>
        </w:rPr>
        <w:t>иным средством индивидуализации</w:t>
      </w:r>
      <w:r w:rsidR="00975DFA" w:rsidRPr="002C3B9A">
        <w:rPr>
          <w:rFonts w:ascii="Times New Roman" w:hAnsi="Times New Roman" w:cs="Times New Roman"/>
          <w:sz w:val="28"/>
          <w:szCs w:val="28"/>
        </w:rPr>
        <w:t xml:space="preserve"> (</w:t>
      </w:r>
      <w:r w:rsidR="00975DFA" w:rsidRPr="002C3B9A">
        <w:rPr>
          <w:rFonts w:ascii="Times New Roman" w:hAnsi="Times New Roman" w:cs="Times New Roman"/>
          <w:color w:val="000000"/>
          <w:sz w:val="28"/>
          <w:szCs w:val="28"/>
        </w:rPr>
        <w:t>пункт 8 статьи 2 Федерального закона от 28.12.2009 № 381-ФЗ «Об основах государственного регулирования торговой деятельности в Российской Федерации»</w:t>
      </w:r>
      <w:r w:rsidR="00975DFA" w:rsidRPr="002C3B9A">
        <w:rPr>
          <w:rFonts w:ascii="Times New Roman" w:hAnsi="Times New Roman" w:cs="Times New Roman"/>
          <w:sz w:val="28"/>
          <w:szCs w:val="28"/>
        </w:rPr>
        <w:t>)</w:t>
      </w:r>
      <w:r w:rsidRPr="002C3B9A">
        <w:rPr>
          <w:rFonts w:ascii="Times New Roman" w:hAnsi="Times New Roman" w:cs="Times New Roman"/>
          <w:sz w:val="28"/>
          <w:szCs w:val="28"/>
        </w:rPr>
        <w:t>.</w:t>
      </w:r>
    </w:p>
    <w:p w:rsidR="001A0210" w:rsidRPr="002C3B9A" w:rsidRDefault="00351147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Таким образом, законодательством предусмотрена возможность создания закупочных союзов, которые будут способствовать оптимизации закупок для его участников, при условии соблюдения антимонопольных требований.</w:t>
      </w:r>
    </w:p>
    <w:p w:rsidR="00BE588D" w:rsidRPr="002C3B9A" w:rsidRDefault="00BE588D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Наиболее верными</w:t>
      </w:r>
      <w:r w:rsidR="004110B7" w:rsidRPr="002C3B9A">
        <w:rPr>
          <w:rFonts w:ascii="Times New Roman" w:hAnsi="Times New Roman" w:cs="Times New Roman"/>
          <w:sz w:val="28"/>
          <w:szCs w:val="28"/>
        </w:rPr>
        <w:t>, с нашей точки зрения, способа</w:t>
      </w:r>
      <w:r w:rsidRPr="002C3B9A">
        <w:rPr>
          <w:rFonts w:ascii="Times New Roman" w:hAnsi="Times New Roman" w:cs="Times New Roman"/>
          <w:sz w:val="28"/>
          <w:szCs w:val="28"/>
        </w:rPr>
        <w:t xml:space="preserve">ми организации закупочного союза, которые максимально обезопасят не входящие в одну подконтрольную группу лиц хозяйствующие субъекты от обвинения </w:t>
      </w:r>
      <w:r w:rsidR="001A6B3A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заключении антиконкурентного соглашения, являются:</w:t>
      </w:r>
    </w:p>
    <w:p w:rsidR="00BE588D" w:rsidRPr="002C3B9A" w:rsidRDefault="0094632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соглашение</w:t>
      </w:r>
      <w:r w:rsidR="00BE588D" w:rsidRPr="002C3B9A">
        <w:rPr>
          <w:rFonts w:ascii="Times New Roman" w:hAnsi="Times New Roman" w:cs="Times New Roman"/>
          <w:sz w:val="28"/>
          <w:szCs w:val="28"/>
        </w:rPr>
        <w:t xml:space="preserve"> о совместной деятельности, заключе</w:t>
      </w:r>
      <w:r w:rsidRPr="002C3B9A">
        <w:rPr>
          <w:rFonts w:ascii="Times New Roman" w:hAnsi="Times New Roman" w:cs="Times New Roman"/>
          <w:sz w:val="28"/>
          <w:szCs w:val="28"/>
        </w:rPr>
        <w:t>нное</w:t>
      </w:r>
      <w:r w:rsidR="00BE588D" w:rsidRPr="002C3B9A">
        <w:rPr>
          <w:rFonts w:ascii="Times New Roman" w:hAnsi="Times New Roman" w:cs="Times New Roman"/>
          <w:sz w:val="28"/>
          <w:szCs w:val="28"/>
        </w:rPr>
        <w:t xml:space="preserve"> с согласия антимонопольного органа;</w:t>
      </w:r>
    </w:p>
    <w:p w:rsidR="00BE588D" w:rsidRPr="002C3B9A" w:rsidRDefault="00946327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создание</w:t>
      </w:r>
      <w:r w:rsidR="00BE588D" w:rsidRPr="002C3B9A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2C3B9A">
        <w:rPr>
          <w:rFonts w:ascii="Times New Roman" w:hAnsi="Times New Roman" w:cs="Times New Roman"/>
          <w:sz w:val="28"/>
          <w:szCs w:val="28"/>
        </w:rPr>
        <w:t xml:space="preserve"> (совместного предприятия)</w:t>
      </w:r>
      <w:r w:rsidR="00BE588D" w:rsidRPr="002C3B9A">
        <w:rPr>
          <w:rFonts w:ascii="Times New Roman" w:hAnsi="Times New Roman" w:cs="Times New Roman"/>
          <w:sz w:val="28"/>
          <w:szCs w:val="28"/>
        </w:rPr>
        <w:t xml:space="preserve"> с согласия антимонопольного органа.</w:t>
      </w:r>
    </w:p>
    <w:p w:rsidR="004110B7" w:rsidRPr="002C3B9A" w:rsidRDefault="004110B7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Указанный выбор не является случайным, так как только при наличии контроля за созданием юридического лица или осуществлением совместной деятельности со стороны антимонопольного органа стороны могут исключить негативные риски привлечения к ответственности за заключение и реализацию антиконкурентного соглашения.</w:t>
      </w:r>
    </w:p>
    <w:p w:rsidR="004110B7" w:rsidRPr="002C3B9A" w:rsidRDefault="004110B7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 xml:space="preserve">Учитывая изложенное, действующее антимонопольное законодательство предусматривает реальную возможность создания «закупочных союзов» в форме нового юридического лица, которое будет способствовать оптимизации закупок для его участников, и </w:t>
      </w:r>
      <w:r w:rsidRPr="002C3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совместной деятельности, при условии соблюдения требований Закона о защите </w:t>
      </w:r>
      <w:r w:rsidRPr="002C3B9A">
        <w:rPr>
          <w:rFonts w:ascii="Times New Roman" w:hAnsi="Times New Roman" w:cs="Times New Roman"/>
          <w:sz w:val="28"/>
          <w:szCs w:val="28"/>
        </w:rPr>
        <w:t>конкуренции.</w:t>
      </w:r>
    </w:p>
    <w:p w:rsidR="004110B7" w:rsidRPr="002C3B9A" w:rsidRDefault="004110B7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Вместе с тем из субъектов разъяснения ФАС России явно выпадают хозяйствующие субъекты—конкуренты, которые в целях увеличения прибыли и снижения рисков неисполнения более крупных государственных и иных контрактов планируют объединиться (путем создания совместного предприятия или заключения соглашения о совместной деятельности) для участия в</w:t>
      </w:r>
      <w:r w:rsidR="001738A2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государственных закупках.</w:t>
      </w:r>
    </w:p>
    <w:p w:rsidR="004110B7" w:rsidRPr="002C3B9A" w:rsidRDefault="00BB44C0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Вместе с тем необходимость в объединении усилий хозяйствующих субъектов в настоящее время обусловлена следующими факторами:</w:t>
      </w:r>
    </w:p>
    <w:p w:rsidR="00BB44C0" w:rsidRPr="002C3B9A" w:rsidRDefault="00BB44C0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 xml:space="preserve">отсутствие возможности </w:t>
      </w:r>
      <w:r w:rsidR="006329CB" w:rsidRPr="002C3B9A">
        <w:rPr>
          <w:rFonts w:ascii="Times New Roman" w:hAnsi="Times New Roman" w:cs="Times New Roman"/>
          <w:sz w:val="28"/>
          <w:szCs w:val="28"/>
        </w:rPr>
        <w:t>подачи коллективных заявок;</w:t>
      </w:r>
    </w:p>
    <w:p w:rsidR="006329CB" w:rsidRPr="002C3B9A" w:rsidRDefault="006329CB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стремление хозяйствующих субъектов к росту и увеличению прибыли;</w:t>
      </w:r>
    </w:p>
    <w:p w:rsidR="006329CB" w:rsidRPr="002C3B9A" w:rsidRDefault="006329CB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невозможность исполнения крупных государственных контрактов собственными силами в связи с недостаточностью мощностей, сотрудников и</w:t>
      </w:r>
      <w:r w:rsidR="001738A2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(или) товаров, а также существенным риском включения в РНП;</w:t>
      </w:r>
    </w:p>
    <w:p w:rsidR="006329CB" w:rsidRPr="002C3B9A" w:rsidRDefault="006329CB" w:rsidP="002C3B9A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 xml:space="preserve">западными санкциями, приводящими к экономическому кризису, который делает невозможным исполнение контракта одним лицом по наиболее выгодной для заказчика цене и в разумные сроки. </w:t>
      </w:r>
    </w:p>
    <w:p w:rsidR="00797159" w:rsidRPr="002C3B9A" w:rsidRDefault="00797159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С одной стороны, хозяйствующие субъекты-конкуренты, пользуясь по аналогии разъяснениями о создании «закупочных союзов» могут, согласовав с</w:t>
      </w:r>
      <w:r w:rsidR="001738A2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>антимонопольным органом, создать совместное предприятие или заключить соглашение о совместной деятельности.</w:t>
      </w:r>
    </w:p>
    <w:p w:rsidR="001A0210" w:rsidRPr="002C3B9A" w:rsidRDefault="00797159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B9A">
        <w:rPr>
          <w:rFonts w:ascii="Times New Roman" w:hAnsi="Times New Roman" w:cs="Times New Roman"/>
          <w:sz w:val="28"/>
          <w:szCs w:val="28"/>
        </w:rPr>
        <w:t>Вместе с тем в настоящее время хозяйствующие субъекты-конкуренты не</w:t>
      </w:r>
      <w:r w:rsidR="001738A2">
        <w:rPr>
          <w:rFonts w:ascii="Times New Roman" w:hAnsi="Times New Roman" w:cs="Times New Roman"/>
          <w:sz w:val="28"/>
          <w:szCs w:val="28"/>
        </w:rPr>
        <w:t> </w:t>
      </w:r>
      <w:r w:rsidRPr="002C3B9A">
        <w:rPr>
          <w:rFonts w:ascii="Times New Roman" w:hAnsi="Times New Roman" w:cs="Times New Roman"/>
          <w:sz w:val="28"/>
          <w:szCs w:val="28"/>
        </w:rPr>
        <w:t xml:space="preserve">обладают достаточной </w:t>
      </w:r>
      <w:r w:rsidR="00140BA2" w:rsidRPr="002C3B9A">
        <w:rPr>
          <w:rFonts w:ascii="Times New Roman" w:hAnsi="Times New Roman" w:cs="Times New Roman"/>
          <w:sz w:val="28"/>
          <w:szCs w:val="28"/>
        </w:rPr>
        <w:t>правовой определенностью</w:t>
      </w:r>
      <w:r w:rsidRPr="002C3B9A">
        <w:rPr>
          <w:rFonts w:ascii="Times New Roman" w:hAnsi="Times New Roman" w:cs="Times New Roman"/>
          <w:sz w:val="28"/>
          <w:szCs w:val="28"/>
        </w:rPr>
        <w:t xml:space="preserve">, позволяющей без опасений (быть обвиненными в заключении антиконкурентного соглашения, стать объектом внеплановой выездной проверки) обратиться в антимонопольный орган с соответствующим ходатайством. </w:t>
      </w:r>
    </w:p>
    <w:p w:rsidR="00797159" w:rsidRPr="002C3B9A" w:rsidRDefault="00797159" w:rsidP="002C3B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B9A">
        <w:rPr>
          <w:rFonts w:ascii="Times New Roman" w:hAnsi="Times New Roman" w:cs="Times New Roman"/>
          <w:b/>
          <w:sz w:val="28"/>
          <w:szCs w:val="28"/>
        </w:rPr>
        <w:t>Таким образом, учитывая актуальность данного вопроса, полагаем целесообразным рекомендовать ФАС России подготовить отдельные разъяснения, касающиеся возможности и описывающие порядок создания хозяйствующими субъектами-конкурентами совместных предприятий или заключения ими соглашений о совместной деятельность.</w:t>
      </w:r>
    </w:p>
    <w:p w:rsidR="00776D6A" w:rsidRDefault="00776D6A" w:rsidP="00797159">
      <w:pPr>
        <w:autoSpaceDE w:val="0"/>
        <w:autoSpaceDN w:val="0"/>
        <w:adjustRightInd w:val="0"/>
        <w:spacing w:after="120" w:line="360" w:lineRule="auto"/>
        <w:ind w:left="-567" w:firstLine="567"/>
        <w:jc w:val="both"/>
        <w:rPr>
          <w:rFonts w:ascii="Georgia" w:hAnsi="Georgia" w:cs="Calibri"/>
        </w:rPr>
      </w:pPr>
    </w:p>
    <w:p w:rsidR="00843B77" w:rsidRPr="005E72FF" w:rsidRDefault="00843B77" w:rsidP="00797159">
      <w:pPr>
        <w:autoSpaceDE w:val="0"/>
        <w:autoSpaceDN w:val="0"/>
        <w:adjustRightInd w:val="0"/>
        <w:spacing w:after="120" w:line="360" w:lineRule="auto"/>
        <w:ind w:left="-567" w:firstLine="567"/>
        <w:jc w:val="both"/>
        <w:rPr>
          <w:rFonts w:ascii="Georgia" w:hAnsi="Georgia" w:cs="Calibri"/>
        </w:rPr>
      </w:pPr>
    </w:p>
    <w:sectPr w:rsidR="00843B77" w:rsidRPr="005E72F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B6" w:rsidRDefault="004074B6" w:rsidP="00D301E5">
      <w:pPr>
        <w:spacing w:after="0" w:line="240" w:lineRule="auto"/>
      </w:pPr>
      <w:r>
        <w:separator/>
      </w:r>
    </w:p>
  </w:endnote>
  <w:endnote w:type="continuationSeparator" w:id="0">
    <w:p w:rsidR="004074B6" w:rsidRDefault="004074B6" w:rsidP="00D3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720238764"/>
      <w:docPartObj>
        <w:docPartGallery w:val="Page Numbers (Bottom of Page)"/>
        <w:docPartUnique/>
      </w:docPartObj>
    </w:sdtPr>
    <w:sdtEndPr/>
    <w:sdtContent>
      <w:p w:rsidR="00DE3F22" w:rsidRPr="00DE3F22" w:rsidRDefault="00DE3F22">
        <w:pPr>
          <w:pStyle w:val="a9"/>
          <w:jc w:val="center"/>
          <w:rPr>
            <w:rFonts w:ascii="Times New Roman" w:hAnsi="Times New Roman" w:cs="Times New Roman"/>
          </w:rPr>
        </w:pPr>
        <w:r w:rsidRPr="00DE3F22">
          <w:rPr>
            <w:rFonts w:ascii="Times New Roman" w:hAnsi="Times New Roman" w:cs="Times New Roman"/>
          </w:rPr>
          <w:fldChar w:fldCharType="begin"/>
        </w:r>
        <w:r w:rsidRPr="00DE3F22">
          <w:rPr>
            <w:rFonts w:ascii="Times New Roman" w:hAnsi="Times New Roman" w:cs="Times New Roman"/>
          </w:rPr>
          <w:instrText>PAGE   \* MERGEFORMAT</w:instrText>
        </w:r>
        <w:r w:rsidRPr="00DE3F22">
          <w:rPr>
            <w:rFonts w:ascii="Times New Roman" w:hAnsi="Times New Roman" w:cs="Times New Roman"/>
          </w:rPr>
          <w:fldChar w:fldCharType="separate"/>
        </w:r>
        <w:r w:rsidR="003E1C04">
          <w:rPr>
            <w:rFonts w:ascii="Times New Roman" w:hAnsi="Times New Roman" w:cs="Times New Roman"/>
            <w:noProof/>
          </w:rPr>
          <w:t>1</w:t>
        </w:r>
        <w:r w:rsidRPr="00DE3F22">
          <w:rPr>
            <w:rFonts w:ascii="Times New Roman" w:hAnsi="Times New Roman" w:cs="Times New Roman"/>
          </w:rPr>
          <w:fldChar w:fldCharType="end"/>
        </w:r>
      </w:p>
    </w:sdtContent>
  </w:sdt>
  <w:p w:rsidR="00DE3F22" w:rsidRPr="00DE3F22" w:rsidRDefault="00DE3F22">
    <w:pPr>
      <w:pStyle w:val="a9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B6" w:rsidRDefault="004074B6" w:rsidP="00D301E5">
      <w:pPr>
        <w:spacing w:after="0" w:line="240" w:lineRule="auto"/>
      </w:pPr>
      <w:r>
        <w:separator/>
      </w:r>
    </w:p>
  </w:footnote>
  <w:footnote w:type="continuationSeparator" w:id="0">
    <w:p w:rsidR="004074B6" w:rsidRDefault="004074B6" w:rsidP="00D301E5">
      <w:pPr>
        <w:spacing w:after="0" w:line="240" w:lineRule="auto"/>
      </w:pPr>
      <w:r>
        <w:continuationSeparator/>
      </w:r>
    </w:p>
  </w:footnote>
  <w:footnote w:id="1">
    <w:p w:rsidR="00D301E5" w:rsidRDefault="00D301E5" w:rsidP="00D301E5">
      <w:pPr>
        <w:pStyle w:val="a3"/>
      </w:pPr>
      <w:r w:rsidRPr="00FC6653">
        <w:rPr>
          <w:rStyle w:val="a5"/>
          <w:rFonts w:ascii="Georgia" w:hAnsi="Georgia"/>
          <w:sz w:val="16"/>
          <w:szCs w:val="16"/>
        </w:rPr>
        <w:footnoteRef/>
      </w:r>
      <w:r w:rsidRPr="00FC6653">
        <w:rPr>
          <w:rFonts w:ascii="Georgia" w:hAnsi="Georgia"/>
          <w:sz w:val="16"/>
          <w:szCs w:val="16"/>
        </w:rPr>
        <w:t xml:space="preserve"> Постановление Арбитражного суда Дальневосточного округа от 12.08.2021 № Ф03-4244/2021 по делу № А73-21091/2020</w:t>
      </w:r>
    </w:p>
  </w:footnote>
  <w:footnote w:id="2">
    <w:p w:rsidR="0027607E" w:rsidRPr="00753071" w:rsidRDefault="0027607E" w:rsidP="0027607E">
      <w:pPr>
        <w:spacing w:after="0" w:line="240" w:lineRule="auto"/>
        <w:rPr>
          <w:rFonts w:ascii="Georgia" w:hAnsi="Georgia"/>
          <w:sz w:val="16"/>
          <w:szCs w:val="16"/>
        </w:rPr>
      </w:pPr>
      <w:r w:rsidRPr="00753071">
        <w:rPr>
          <w:rStyle w:val="a5"/>
          <w:rFonts w:ascii="Georgia" w:hAnsi="Georgia"/>
          <w:sz w:val="16"/>
          <w:szCs w:val="16"/>
        </w:rPr>
        <w:footnoteRef/>
      </w:r>
      <w:r w:rsidRPr="00753071">
        <w:rPr>
          <w:rFonts w:ascii="Georgia" w:hAnsi="Georgia"/>
          <w:sz w:val="16"/>
          <w:szCs w:val="16"/>
        </w:rPr>
        <w:t xml:space="preserve"> Постановление Арбитражного суда Западно-Сибирского округа от 27.0</w:t>
      </w:r>
      <w:r>
        <w:rPr>
          <w:rFonts w:ascii="Georgia" w:hAnsi="Georgia"/>
          <w:sz w:val="16"/>
          <w:szCs w:val="16"/>
        </w:rPr>
        <w:t>8.2021 № Ф04-4434/2021 по делу №</w:t>
      </w:r>
      <w:r w:rsidRPr="00753071">
        <w:rPr>
          <w:rFonts w:ascii="Georgia" w:hAnsi="Georgia"/>
          <w:sz w:val="16"/>
          <w:szCs w:val="16"/>
        </w:rPr>
        <w:t xml:space="preserve"> А75-13398/2020</w:t>
      </w:r>
    </w:p>
  </w:footnote>
  <w:footnote w:id="3">
    <w:p w:rsidR="0027607E" w:rsidRDefault="0027607E" w:rsidP="0027607E">
      <w:pPr>
        <w:pStyle w:val="a3"/>
      </w:pPr>
      <w:r w:rsidRPr="00753071">
        <w:rPr>
          <w:rStyle w:val="a5"/>
          <w:rFonts w:ascii="Georgia" w:hAnsi="Georgia"/>
          <w:sz w:val="16"/>
          <w:szCs w:val="16"/>
        </w:rPr>
        <w:footnoteRef/>
      </w:r>
      <w:r w:rsidRPr="00753071">
        <w:rPr>
          <w:rFonts w:ascii="Georgia" w:hAnsi="Georgia"/>
          <w:sz w:val="16"/>
          <w:szCs w:val="16"/>
        </w:rPr>
        <w:t xml:space="preserve"> Постановление Арбитражного суда Западно-Сибирского округа от 28.07.2021 по делу № А75—15776/2020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68A"/>
    <w:multiLevelType w:val="hybridMultilevel"/>
    <w:tmpl w:val="BD48E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01B5B"/>
    <w:multiLevelType w:val="hybridMultilevel"/>
    <w:tmpl w:val="CC0EE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4F1B"/>
    <w:multiLevelType w:val="hybridMultilevel"/>
    <w:tmpl w:val="D4DA3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51E54"/>
    <w:multiLevelType w:val="hybridMultilevel"/>
    <w:tmpl w:val="B3568A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F0"/>
    <w:rsid w:val="0008315A"/>
    <w:rsid w:val="000D57BB"/>
    <w:rsid w:val="00133DF5"/>
    <w:rsid w:val="00140BA2"/>
    <w:rsid w:val="001738A2"/>
    <w:rsid w:val="001A0210"/>
    <w:rsid w:val="001A6B3A"/>
    <w:rsid w:val="002047CF"/>
    <w:rsid w:val="0022037A"/>
    <w:rsid w:val="0022397E"/>
    <w:rsid w:val="00253B5D"/>
    <w:rsid w:val="0027607E"/>
    <w:rsid w:val="00293A6B"/>
    <w:rsid w:val="002C3B9A"/>
    <w:rsid w:val="00351147"/>
    <w:rsid w:val="00357273"/>
    <w:rsid w:val="003B5832"/>
    <w:rsid w:val="003C1BA2"/>
    <w:rsid w:val="003E1C04"/>
    <w:rsid w:val="004074B6"/>
    <w:rsid w:val="004110B7"/>
    <w:rsid w:val="004866FB"/>
    <w:rsid w:val="004E7D03"/>
    <w:rsid w:val="004F30CF"/>
    <w:rsid w:val="005C7E84"/>
    <w:rsid w:val="005E0722"/>
    <w:rsid w:val="005E72FF"/>
    <w:rsid w:val="00627B44"/>
    <w:rsid w:val="006329CB"/>
    <w:rsid w:val="006D413C"/>
    <w:rsid w:val="006F14AD"/>
    <w:rsid w:val="00776D6A"/>
    <w:rsid w:val="00797159"/>
    <w:rsid w:val="007B6809"/>
    <w:rsid w:val="007E1687"/>
    <w:rsid w:val="00804B7D"/>
    <w:rsid w:val="00826D5D"/>
    <w:rsid w:val="00843B77"/>
    <w:rsid w:val="00866BF0"/>
    <w:rsid w:val="00895A7E"/>
    <w:rsid w:val="008A65BA"/>
    <w:rsid w:val="00946327"/>
    <w:rsid w:val="00975DFA"/>
    <w:rsid w:val="009B796F"/>
    <w:rsid w:val="00A73292"/>
    <w:rsid w:val="00A92CD8"/>
    <w:rsid w:val="00A932A0"/>
    <w:rsid w:val="00B96FC2"/>
    <w:rsid w:val="00BB44C0"/>
    <w:rsid w:val="00BC1DD5"/>
    <w:rsid w:val="00BC2CC4"/>
    <w:rsid w:val="00BE588D"/>
    <w:rsid w:val="00BE5D99"/>
    <w:rsid w:val="00C6423B"/>
    <w:rsid w:val="00C65F2C"/>
    <w:rsid w:val="00C84D3F"/>
    <w:rsid w:val="00C93897"/>
    <w:rsid w:val="00D00AC2"/>
    <w:rsid w:val="00D301E5"/>
    <w:rsid w:val="00D41A23"/>
    <w:rsid w:val="00D7371B"/>
    <w:rsid w:val="00D83B0E"/>
    <w:rsid w:val="00D84A71"/>
    <w:rsid w:val="00DE3F22"/>
    <w:rsid w:val="00EF11E6"/>
    <w:rsid w:val="00EF3DF0"/>
    <w:rsid w:val="00FC23B2"/>
    <w:rsid w:val="00FE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D5E5B-1E7B-49AF-B0CD-CD358A60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01E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01E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301E5"/>
    <w:rPr>
      <w:vertAlign w:val="superscript"/>
    </w:rPr>
  </w:style>
  <w:style w:type="paragraph" w:styleId="a6">
    <w:name w:val="List Paragraph"/>
    <w:basedOn w:val="a"/>
    <w:uiPriority w:val="34"/>
    <w:qFormat/>
    <w:rsid w:val="005E72F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E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3F22"/>
  </w:style>
  <w:style w:type="paragraph" w:styleId="a9">
    <w:name w:val="footer"/>
    <w:basedOn w:val="a"/>
    <w:link w:val="aa"/>
    <w:uiPriority w:val="99"/>
    <w:unhideWhenUsed/>
    <w:rsid w:val="00DE3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3F22"/>
  </w:style>
  <w:style w:type="character" w:styleId="ab">
    <w:name w:val="annotation reference"/>
    <w:basedOn w:val="a0"/>
    <w:uiPriority w:val="99"/>
    <w:semiHidden/>
    <w:unhideWhenUsed/>
    <w:rsid w:val="00DE3F2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E3F2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E3F2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E3F2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E3F22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E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Анпилогов Артем Анатольевич</dc:creator>
  <cp:lastModifiedBy>Светлана Алексеевна Малахова</cp:lastModifiedBy>
  <cp:revision>5</cp:revision>
  <dcterms:created xsi:type="dcterms:W3CDTF">2022-03-14T13:55:00Z</dcterms:created>
  <dcterms:modified xsi:type="dcterms:W3CDTF">2022-03-16T18:30:00Z</dcterms:modified>
</cp:coreProperties>
</file>