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0C" w:rsidRPr="0062390C" w:rsidRDefault="0062390C" w:rsidP="00B243E5">
      <w:pPr>
        <w:widowControl w:val="0"/>
        <w:tabs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390C">
        <w:rPr>
          <w:rFonts w:ascii="Times New Roman" w:hAnsi="Times New Roman" w:cs="Times New Roman"/>
          <w:b/>
          <w:bCs/>
          <w:i/>
          <w:sz w:val="28"/>
          <w:szCs w:val="28"/>
        </w:rPr>
        <w:t>ОС при ФАС России</w:t>
      </w:r>
    </w:p>
    <w:p w:rsidR="00CC5DD7" w:rsidRPr="0062390C" w:rsidRDefault="00CC5DD7" w:rsidP="00B243E5">
      <w:pPr>
        <w:widowControl w:val="0"/>
        <w:tabs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390C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="00517826" w:rsidRPr="006239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лексей </w:t>
      </w:r>
      <w:r w:rsidRPr="0062390C">
        <w:rPr>
          <w:rFonts w:ascii="Times New Roman" w:hAnsi="Times New Roman" w:cs="Times New Roman"/>
          <w:b/>
          <w:bCs/>
          <w:i/>
          <w:sz w:val="28"/>
          <w:szCs w:val="28"/>
        </w:rPr>
        <w:t>Э</w:t>
      </w:r>
      <w:r w:rsidR="00517826" w:rsidRPr="0062390C">
        <w:rPr>
          <w:rFonts w:ascii="Times New Roman" w:hAnsi="Times New Roman" w:cs="Times New Roman"/>
          <w:b/>
          <w:bCs/>
          <w:i/>
          <w:sz w:val="28"/>
          <w:szCs w:val="28"/>
        </w:rPr>
        <w:t>рнестович</w:t>
      </w:r>
      <w:r w:rsidR="00B243E5" w:rsidRPr="006239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Рыбников</w:t>
      </w:r>
    </w:p>
    <w:p w:rsidR="00CC5DD7" w:rsidRDefault="00CC5DD7" w:rsidP="00CC5DD7">
      <w:pPr>
        <w:widowControl w:val="0"/>
        <w:tabs>
          <w:tab w:val="left" w:pos="8931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F8" w:rsidRDefault="00CC5DD7" w:rsidP="001753F8">
      <w:pPr>
        <w:widowControl w:val="0"/>
        <w:tabs>
          <w:tab w:val="left" w:pos="8931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B70">
        <w:rPr>
          <w:rFonts w:ascii="Times New Roman" w:hAnsi="Times New Roman" w:cs="Times New Roman"/>
          <w:b/>
          <w:bCs/>
          <w:sz w:val="28"/>
          <w:szCs w:val="28"/>
        </w:rPr>
        <w:t>Материалы к вопросу 3 повестки</w:t>
      </w:r>
    </w:p>
    <w:p w:rsidR="00CC5DD7" w:rsidRDefault="00CC5DD7" w:rsidP="001753F8">
      <w:pPr>
        <w:widowControl w:val="0"/>
        <w:tabs>
          <w:tab w:val="left" w:pos="8931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50B93">
        <w:rPr>
          <w:rFonts w:ascii="Times New Roman" w:hAnsi="Times New Roman" w:cs="Times New Roman"/>
          <w:b/>
          <w:sz w:val="28"/>
          <w:szCs w:val="28"/>
        </w:rPr>
        <w:t>Биржевые торги рыбной продукцией</w:t>
      </w:r>
      <w:r w:rsidRPr="00925B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5DD7" w:rsidRDefault="00CC5DD7" w:rsidP="00F028D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93" w:rsidRPr="00550B93" w:rsidRDefault="00550B93" w:rsidP="005169CC">
      <w:pPr>
        <w:pStyle w:val="s51"/>
        <w:spacing w:before="0" w:beforeAutospacing="0" w:after="0" w:afterAutospacing="0"/>
        <w:ind w:firstLine="680"/>
        <w:jc w:val="both"/>
        <w:rPr>
          <w:rStyle w:val="s53"/>
          <w:b/>
          <w:bCs/>
        </w:rPr>
      </w:pPr>
    </w:p>
    <w:p w:rsidR="005169CC" w:rsidRPr="00CC5DD7" w:rsidRDefault="005169CC" w:rsidP="005169CC">
      <w:pPr>
        <w:pStyle w:val="s51"/>
        <w:spacing w:before="0" w:beforeAutospacing="0" w:after="0" w:afterAutospacing="0"/>
        <w:ind w:firstLine="680"/>
        <w:jc w:val="both"/>
        <w:rPr>
          <w:rStyle w:val="s53"/>
          <w:b/>
          <w:bCs/>
          <w:sz w:val="28"/>
          <w:szCs w:val="28"/>
        </w:rPr>
      </w:pPr>
      <w:r w:rsidRPr="00CC5DD7">
        <w:rPr>
          <w:rStyle w:val="s53"/>
          <w:b/>
          <w:bCs/>
          <w:sz w:val="28"/>
          <w:szCs w:val="28"/>
        </w:rPr>
        <w:t>Нормативная база</w:t>
      </w:r>
      <w:r w:rsidR="005A63E4" w:rsidRPr="00CC5DD7">
        <w:rPr>
          <w:rStyle w:val="s53"/>
          <w:b/>
          <w:bCs/>
          <w:sz w:val="28"/>
          <w:szCs w:val="28"/>
        </w:rPr>
        <w:t>:</w:t>
      </w:r>
    </w:p>
    <w:p w:rsidR="001C459C" w:rsidRPr="00CC5DD7" w:rsidRDefault="001C459C" w:rsidP="005169CC">
      <w:pPr>
        <w:pStyle w:val="s51"/>
        <w:spacing w:before="0" w:beforeAutospacing="0" w:after="0" w:afterAutospacing="0"/>
        <w:ind w:firstLine="680"/>
        <w:jc w:val="both"/>
        <w:rPr>
          <w:rStyle w:val="s53"/>
          <w:b/>
          <w:bCs/>
          <w:sz w:val="28"/>
          <w:szCs w:val="28"/>
        </w:rPr>
      </w:pPr>
    </w:p>
    <w:p w:rsidR="005169CC" w:rsidRPr="00CC5DD7" w:rsidRDefault="005A63E4" w:rsidP="005169CC">
      <w:pPr>
        <w:pStyle w:val="s51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C5DD7">
        <w:rPr>
          <w:rStyle w:val="s53"/>
          <w:b/>
          <w:bCs/>
          <w:sz w:val="28"/>
          <w:szCs w:val="28"/>
        </w:rPr>
        <w:t xml:space="preserve"> - </w:t>
      </w:r>
      <w:r w:rsidR="005169CC" w:rsidRPr="00CC5DD7">
        <w:rPr>
          <w:rStyle w:val="s53"/>
          <w:b/>
          <w:bCs/>
          <w:sz w:val="28"/>
          <w:szCs w:val="28"/>
        </w:rPr>
        <w:t xml:space="preserve">Указ Президента </w:t>
      </w:r>
      <w:r w:rsidRPr="00CC5DD7">
        <w:rPr>
          <w:rStyle w:val="s53"/>
          <w:b/>
          <w:bCs/>
          <w:sz w:val="28"/>
          <w:szCs w:val="28"/>
        </w:rPr>
        <w:t xml:space="preserve">России </w:t>
      </w:r>
      <w:r w:rsidR="005169CC" w:rsidRPr="00CC5DD7">
        <w:rPr>
          <w:rStyle w:val="s53"/>
          <w:b/>
          <w:bCs/>
          <w:sz w:val="28"/>
          <w:szCs w:val="28"/>
        </w:rPr>
        <w:t>№ 618 от 21.12.2017 г.</w:t>
      </w:r>
      <w:r w:rsidR="005169CC" w:rsidRPr="00CC5DD7">
        <w:rPr>
          <w:rStyle w:val="s53"/>
          <w:bCs/>
          <w:sz w:val="28"/>
          <w:szCs w:val="28"/>
        </w:rPr>
        <w:t xml:space="preserve"> «Об основных направлениях государственной политики по развитию конкуренции». </w:t>
      </w:r>
      <w:r w:rsidR="005169CC" w:rsidRPr="00CC5DD7">
        <w:rPr>
          <w:rStyle w:val="s54"/>
          <w:sz w:val="28"/>
          <w:szCs w:val="28"/>
        </w:rPr>
        <w:t>Развитие биржевой торговли определено в качестве одного из «основополагающих принципов государственной политики по развитию конкуренции». </w:t>
      </w:r>
    </w:p>
    <w:p w:rsidR="005169CC" w:rsidRPr="00CC5DD7" w:rsidRDefault="005169CC" w:rsidP="005169CC">
      <w:pPr>
        <w:pStyle w:val="s55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C5DD7">
        <w:rPr>
          <w:rStyle w:val="s53"/>
          <w:b/>
          <w:bCs/>
          <w:sz w:val="28"/>
          <w:szCs w:val="28"/>
        </w:rPr>
        <w:t>-</w:t>
      </w:r>
      <w:r w:rsidR="005A63E4" w:rsidRPr="00CC5DD7">
        <w:rPr>
          <w:rStyle w:val="s53"/>
          <w:b/>
          <w:bCs/>
          <w:sz w:val="28"/>
          <w:szCs w:val="28"/>
        </w:rPr>
        <w:t xml:space="preserve"> </w:t>
      </w:r>
      <w:r w:rsidRPr="00CC5DD7">
        <w:rPr>
          <w:rStyle w:val="s53"/>
          <w:b/>
          <w:bCs/>
          <w:sz w:val="28"/>
          <w:szCs w:val="28"/>
        </w:rPr>
        <w:t>Распоряжением Правительства Р</w:t>
      </w:r>
      <w:r w:rsidR="005A63E4" w:rsidRPr="00CC5DD7">
        <w:rPr>
          <w:rStyle w:val="s53"/>
          <w:b/>
          <w:bCs/>
          <w:sz w:val="28"/>
          <w:szCs w:val="28"/>
        </w:rPr>
        <w:t>оссии</w:t>
      </w:r>
      <w:r w:rsidRPr="00CC5DD7">
        <w:rPr>
          <w:rStyle w:val="s53"/>
          <w:b/>
          <w:bCs/>
          <w:sz w:val="28"/>
          <w:szCs w:val="28"/>
        </w:rPr>
        <w:t xml:space="preserve"> № 2424-р от 02.09.2021 г.</w:t>
      </w:r>
      <w:r w:rsidRPr="00CC5DD7">
        <w:rPr>
          <w:rStyle w:val="s53"/>
          <w:bCs/>
          <w:sz w:val="28"/>
          <w:szCs w:val="28"/>
        </w:rPr>
        <w:t xml:space="preserve"> утверждён Национальный план развития конкуренции в Российской Федерации на 2021 - 2025 годы</w:t>
      </w:r>
      <w:r w:rsidRPr="00CC5DD7">
        <w:rPr>
          <w:rStyle w:val="s54"/>
          <w:sz w:val="28"/>
          <w:szCs w:val="28"/>
        </w:rPr>
        <w:t xml:space="preserve">, одной из основных задач которого является развитие организованной (биржевой) торговли товарами, производными финансовыми инструментами, базисным активом которых является товар, в </w:t>
      </w:r>
      <w:proofErr w:type="spellStart"/>
      <w:r w:rsidRPr="00CC5DD7">
        <w:rPr>
          <w:rStyle w:val="s54"/>
          <w:sz w:val="28"/>
          <w:szCs w:val="28"/>
        </w:rPr>
        <w:t>т</w:t>
      </w:r>
      <w:r w:rsidR="001C459C" w:rsidRPr="00CC5DD7">
        <w:rPr>
          <w:rStyle w:val="s54"/>
          <w:sz w:val="28"/>
          <w:szCs w:val="28"/>
        </w:rPr>
        <w:t>.ч</w:t>
      </w:r>
      <w:proofErr w:type="spellEnd"/>
      <w:r w:rsidR="001C459C" w:rsidRPr="00CC5DD7">
        <w:rPr>
          <w:rStyle w:val="s54"/>
          <w:sz w:val="28"/>
          <w:szCs w:val="28"/>
        </w:rPr>
        <w:t>.</w:t>
      </w:r>
      <w:r w:rsidRPr="00CC5DD7">
        <w:rPr>
          <w:rStyle w:val="s54"/>
          <w:sz w:val="28"/>
          <w:szCs w:val="28"/>
        </w:rPr>
        <w:t xml:space="preserve"> создание в Российской Федерации отвечающего международным стандартам биржевого товарного рынка фьючерсных контрактов и других товарных </w:t>
      </w:r>
      <w:proofErr w:type="spellStart"/>
      <w:r w:rsidRPr="00CC5DD7">
        <w:rPr>
          <w:rStyle w:val="s54"/>
          <w:sz w:val="28"/>
          <w:szCs w:val="28"/>
        </w:rPr>
        <w:t>деривативов</w:t>
      </w:r>
      <w:proofErr w:type="spellEnd"/>
      <w:r w:rsidRPr="00CC5DD7">
        <w:rPr>
          <w:rStyle w:val="s54"/>
          <w:sz w:val="28"/>
          <w:szCs w:val="28"/>
        </w:rPr>
        <w:t>, создание условий для реализации биржевых товаров на экспорт на российских биржах за рубли;</w:t>
      </w:r>
    </w:p>
    <w:p w:rsidR="005169CC" w:rsidRPr="00CC5DD7" w:rsidRDefault="005169CC" w:rsidP="005169CC">
      <w:pPr>
        <w:pStyle w:val="s55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C5DD7">
        <w:rPr>
          <w:rStyle w:val="s53"/>
          <w:b/>
          <w:bCs/>
          <w:sz w:val="28"/>
          <w:szCs w:val="28"/>
        </w:rPr>
        <w:t>-</w:t>
      </w:r>
      <w:r w:rsidR="005A63E4" w:rsidRPr="00CC5DD7">
        <w:rPr>
          <w:rStyle w:val="s53"/>
          <w:b/>
          <w:bCs/>
          <w:sz w:val="28"/>
          <w:szCs w:val="28"/>
        </w:rPr>
        <w:t xml:space="preserve"> </w:t>
      </w:r>
      <w:r w:rsidRPr="00CC5DD7">
        <w:rPr>
          <w:rStyle w:val="s53"/>
          <w:b/>
          <w:bCs/>
          <w:sz w:val="28"/>
          <w:szCs w:val="28"/>
        </w:rPr>
        <w:t>Распоряжением Правительства Р</w:t>
      </w:r>
      <w:r w:rsidR="005A63E4" w:rsidRPr="00CC5DD7">
        <w:rPr>
          <w:rStyle w:val="s53"/>
          <w:b/>
          <w:bCs/>
          <w:sz w:val="28"/>
          <w:szCs w:val="28"/>
        </w:rPr>
        <w:t>оссии</w:t>
      </w:r>
      <w:r w:rsidRPr="00CC5DD7">
        <w:rPr>
          <w:rStyle w:val="s53"/>
          <w:b/>
          <w:bCs/>
          <w:sz w:val="28"/>
          <w:szCs w:val="28"/>
        </w:rPr>
        <w:t xml:space="preserve"> № 2464-р от 24.09.2020 г.</w:t>
      </w:r>
      <w:r w:rsidRPr="00CC5DD7">
        <w:rPr>
          <w:rStyle w:val="s53"/>
          <w:bCs/>
          <w:sz w:val="28"/>
          <w:szCs w:val="28"/>
        </w:rPr>
        <w:t xml:space="preserve"> утверждена Национальная программа социально-экономического развития Дальнего Востока на период до 2024 г. и на перспективу до 2035 г.</w:t>
      </w:r>
      <w:r w:rsidRPr="00CC5DD7">
        <w:rPr>
          <w:rStyle w:val="s54"/>
          <w:sz w:val="28"/>
          <w:szCs w:val="28"/>
        </w:rPr>
        <w:t xml:space="preserve"> Для повышения инвестиционной привлекательности рыболовства и </w:t>
      </w:r>
      <w:proofErr w:type="spellStart"/>
      <w:r w:rsidRPr="00CC5DD7">
        <w:rPr>
          <w:rStyle w:val="s54"/>
          <w:sz w:val="28"/>
          <w:szCs w:val="28"/>
        </w:rPr>
        <w:t>аквакультуры</w:t>
      </w:r>
      <w:proofErr w:type="spellEnd"/>
      <w:r w:rsidRPr="00CC5DD7">
        <w:rPr>
          <w:rStyle w:val="s54"/>
          <w:sz w:val="28"/>
          <w:szCs w:val="28"/>
        </w:rPr>
        <w:t xml:space="preserve"> планируется введение требования к реализации на внутренний рынок и экспорт отдельных видов рыбной продукции, произведенной на Дальнем Востоке, через электронную биржу.</w:t>
      </w:r>
    </w:p>
    <w:p w:rsidR="005169CC" w:rsidRPr="00CC5DD7" w:rsidRDefault="005169CC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1F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7">
        <w:rPr>
          <w:rFonts w:ascii="Times New Roman" w:hAnsi="Times New Roman" w:cs="Times New Roman"/>
          <w:b/>
          <w:sz w:val="28"/>
          <w:szCs w:val="28"/>
        </w:rPr>
        <w:t>Текущая ситуация</w:t>
      </w:r>
    </w:p>
    <w:p w:rsidR="00D101F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sz w:val="28"/>
          <w:szCs w:val="28"/>
        </w:rPr>
        <w:t>30 марта 2021 г</w:t>
      </w:r>
      <w:r w:rsidR="005A63E4" w:rsidRPr="00CC5DD7">
        <w:rPr>
          <w:rFonts w:ascii="Times New Roman" w:hAnsi="Times New Roman" w:cs="Times New Roman"/>
          <w:sz w:val="28"/>
          <w:szCs w:val="28"/>
        </w:rPr>
        <w:t>.</w:t>
      </w:r>
      <w:r w:rsidRPr="00CC5DD7">
        <w:rPr>
          <w:rFonts w:ascii="Times New Roman" w:hAnsi="Times New Roman" w:cs="Times New Roman"/>
          <w:sz w:val="28"/>
          <w:szCs w:val="28"/>
        </w:rPr>
        <w:t xml:space="preserve"> на Санкт-Петербургской Международной Товарно-сырьевой Бирже (</w:t>
      </w:r>
      <w:proofErr w:type="spellStart"/>
      <w:r w:rsidRPr="00CC5DD7">
        <w:rPr>
          <w:rFonts w:ascii="Times New Roman" w:hAnsi="Times New Roman" w:cs="Times New Roman"/>
          <w:sz w:val="28"/>
          <w:szCs w:val="28"/>
        </w:rPr>
        <w:t>СПбМТСБ</w:t>
      </w:r>
      <w:proofErr w:type="spellEnd"/>
      <w:r w:rsidRPr="00CC5DD7">
        <w:rPr>
          <w:rFonts w:ascii="Times New Roman" w:hAnsi="Times New Roman" w:cs="Times New Roman"/>
          <w:sz w:val="28"/>
          <w:szCs w:val="28"/>
        </w:rPr>
        <w:t>) состоялся запуск биржевых торгов водными биологическими ресурсами (рыбной продукцией).</w:t>
      </w:r>
    </w:p>
    <w:p w:rsidR="00D101F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sz w:val="28"/>
          <w:szCs w:val="28"/>
        </w:rPr>
        <w:t xml:space="preserve">Начиная торги новым товаром, Биржа планомерно масштабирует накопленный опыт, распространяя его на новые рынки, внедряя на них современные цифровые технологии в области торговли и </w:t>
      </w:r>
      <w:proofErr w:type="spellStart"/>
      <w:r w:rsidRPr="00CC5DD7">
        <w:rPr>
          <w:rFonts w:ascii="Times New Roman" w:hAnsi="Times New Roman" w:cs="Times New Roman"/>
          <w:sz w:val="28"/>
          <w:szCs w:val="28"/>
        </w:rPr>
        <w:t>транспарентного</w:t>
      </w:r>
      <w:proofErr w:type="spellEnd"/>
      <w:r w:rsidRPr="00CC5DD7">
        <w:rPr>
          <w:rFonts w:ascii="Times New Roman" w:hAnsi="Times New Roman" w:cs="Times New Roman"/>
          <w:sz w:val="28"/>
          <w:szCs w:val="28"/>
        </w:rPr>
        <w:t xml:space="preserve"> ценообразования.</w:t>
      </w:r>
    </w:p>
    <w:p w:rsidR="00D101F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sz w:val="28"/>
          <w:szCs w:val="28"/>
        </w:rPr>
        <w:t xml:space="preserve">Первым товаром, реализованным на биржевых торгах </w:t>
      </w:r>
      <w:proofErr w:type="spellStart"/>
      <w:r w:rsidRPr="00CC5DD7">
        <w:rPr>
          <w:rFonts w:ascii="Times New Roman" w:hAnsi="Times New Roman" w:cs="Times New Roman"/>
          <w:sz w:val="28"/>
          <w:szCs w:val="28"/>
        </w:rPr>
        <w:t>СПбМТСБ</w:t>
      </w:r>
      <w:proofErr w:type="spellEnd"/>
      <w:r w:rsidRPr="00CC5DD7">
        <w:rPr>
          <w:rFonts w:ascii="Times New Roman" w:hAnsi="Times New Roman" w:cs="Times New Roman"/>
          <w:sz w:val="28"/>
          <w:szCs w:val="28"/>
        </w:rPr>
        <w:t>, стал минтай замороженный, в качестве биржевого базиса поставки выступил склад ОАО «ВМРП», расположенный во Владивостоке. Отгрузка первой партии товара осуществлена на условии «самовывоз автомобильным транспортом».</w:t>
      </w:r>
    </w:p>
    <w:p w:rsidR="00CC5DD7" w:rsidRDefault="00CC5DD7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1F9" w:rsidRPr="00CC5DD7" w:rsidRDefault="005A63E4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5DD7">
        <w:rPr>
          <w:rFonts w:ascii="Times New Roman" w:hAnsi="Times New Roman" w:cs="Times New Roman"/>
          <w:b/>
          <w:sz w:val="28"/>
          <w:szCs w:val="28"/>
        </w:rPr>
        <w:lastRenderedPageBreak/>
        <w:t>На</w:t>
      </w:r>
      <w:r w:rsidR="00D101F9" w:rsidRPr="00CC5DD7">
        <w:rPr>
          <w:rFonts w:ascii="Times New Roman" w:hAnsi="Times New Roman" w:cs="Times New Roman"/>
          <w:b/>
          <w:sz w:val="28"/>
          <w:szCs w:val="28"/>
        </w:rPr>
        <w:t>правления развития биржевой торговли</w:t>
      </w:r>
    </w:p>
    <w:p w:rsidR="005A63E4" w:rsidRPr="00CC5DD7" w:rsidRDefault="005A63E4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1F9" w:rsidRPr="00CC5DD7" w:rsidRDefault="005A63E4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DD7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D101F9" w:rsidRPr="00CC5DD7">
        <w:rPr>
          <w:rFonts w:ascii="Times New Roman" w:hAnsi="Times New Roman" w:cs="Times New Roman"/>
          <w:b/>
          <w:i/>
          <w:sz w:val="28"/>
          <w:szCs w:val="28"/>
        </w:rPr>
        <w:t>Расширение ассортимента</w:t>
      </w:r>
    </w:p>
    <w:p w:rsidR="005A63E4" w:rsidRPr="00CC5DD7" w:rsidRDefault="005A63E4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01F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sz w:val="28"/>
          <w:szCs w:val="28"/>
        </w:rPr>
        <w:t xml:space="preserve">К IV кварталу 2021 года ожидается расширение ассортимента рыбной продукции, доступной на биржевых торгах. В частности, к концу года планируется вывести на торги продукцию из трески и камбалы, а также консервированную продукцию из сардины, горбуши, </w:t>
      </w:r>
      <w:proofErr w:type="spellStart"/>
      <w:r w:rsidRPr="00CC5DD7">
        <w:rPr>
          <w:rFonts w:ascii="Times New Roman" w:hAnsi="Times New Roman" w:cs="Times New Roman"/>
          <w:sz w:val="28"/>
          <w:szCs w:val="28"/>
        </w:rPr>
        <w:t>кукумарии</w:t>
      </w:r>
      <w:proofErr w:type="spellEnd"/>
      <w:r w:rsidRPr="00CC5DD7">
        <w:rPr>
          <w:rFonts w:ascii="Times New Roman" w:hAnsi="Times New Roman" w:cs="Times New Roman"/>
          <w:sz w:val="28"/>
          <w:szCs w:val="28"/>
        </w:rPr>
        <w:t xml:space="preserve">, печени минтая. </w:t>
      </w:r>
    </w:p>
    <w:p w:rsidR="005A63E4" w:rsidRPr="00CC5DD7" w:rsidRDefault="005A63E4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1F9" w:rsidRPr="00CC5DD7" w:rsidRDefault="005A63E4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DD7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D101F9" w:rsidRPr="00CC5DD7">
        <w:rPr>
          <w:rFonts w:ascii="Times New Roman" w:hAnsi="Times New Roman" w:cs="Times New Roman"/>
          <w:b/>
          <w:i/>
          <w:sz w:val="28"/>
          <w:szCs w:val="28"/>
        </w:rPr>
        <w:t>Расширение географии поставок</w:t>
      </w:r>
    </w:p>
    <w:p w:rsidR="001C459C" w:rsidRPr="00CC5DD7" w:rsidRDefault="001C459C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01F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sz w:val="28"/>
          <w:szCs w:val="28"/>
        </w:rPr>
        <w:t xml:space="preserve">Биржа активно сотрудничает с основными рыбодобывающими регионами России, заключены </w:t>
      </w:r>
      <w:r w:rsidR="001C459C" w:rsidRPr="00CC5DD7">
        <w:rPr>
          <w:rFonts w:ascii="Times New Roman" w:hAnsi="Times New Roman" w:cs="Times New Roman"/>
          <w:sz w:val="28"/>
          <w:szCs w:val="28"/>
        </w:rPr>
        <w:t>С</w:t>
      </w:r>
      <w:r w:rsidRPr="00CC5DD7">
        <w:rPr>
          <w:rFonts w:ascii="Times New Roman" w:hAnsi="Times New Roman" w:cs="Times New Roman"/>
          <w:sz w:val="28"/>
          <w:szCs w:val="28"/>
        </w:rPr>
        <w:t xml:space="preserve">оглашения о взаимодействии в области развития биржевой торговли с </w:t>
      </w:r>
      <w:r w:rsidR="001C459C" w:rsidRPr="00CC5DD7">
        <w:rPr>
          <w:rFonts w:ascii="Times New Roman" w:hAnsi="Times New Roman" w:cs="Times New Roman"/>
          <w:sz w:val="28"/>
          <w:szCs w:val="28"/>
        </w:rPr>
        <w:t xml:space="preserve">главами </w:t>
      </w:r>
      <w:r w:rsidRPr="00CC5DD7">
        <w:rPr>
          <w:rFonts w:ascii="Times New Roman" w:hAnsi="Times New Roman" w:cs="Times New Roman"/>
          <w:sz w:val="28"/>
          <w:szCs w:val="28"/>
        </w:rPr>
        <w:t xml:space="preserve">Приморского и Хабаровского краев, Сахалинской области. Готовится </w:t>
      </w:r>
      <w:r w:rsidR="001C459C" w:rsidRPr="00CC5DD7">
        <w:rPr>
          <w:rFonts w:ascii="Times New Roman" w:hAnsi="Times New Roman" w:cs="Times New Roman"/>
          <w:sz w:val="28"/>
          <w:szCs w:val="28"/>
        </w:rPr>
        <w:t>С</w:t>
      </w:r>
      <w:r w:rsidRPr="00CC5DD7">
        <w:rPr>
          <w:rFonts w:ascii="Times New Roman" w:hAnsi="Times New Roman" w:cs="Times New Roman"/>
          <w:sz w:val="28"/>
          <w:szCs w:val="28"/>
        </w:rPr>
        <w:t>оглашение с Камчатским краем и другими регионами. Ведется активная работа с центрами потребления: планируется, что до конца года на бирже появятся базисы поставки, предполагающие доставку биржевого товара на железнодорожные станции, расположенные в Сибирском, Уральском и Центральном федеральных округах.</w:t>
      </w:r>
    </w:p>
    <w:p w:rsidR="00CC5DD7" w:rsidRDefault="00CC5DD7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01F9" w:rsidRPr="00CC5DD7" w:rsidRDefault="005A63E4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DD7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D101F9" w:rsidRPr="00CC5DD7">
        <w:rPr>
          <w:rFonts w:ascii="Times New Roman" w:hAnsi="Times New Roman" w:cs="Times New Roman"/>
          <w:b/>
          <w:i/>
          <w:sz w:val="28"/>
          <w:szCs w:val="28"/>
        </w:rPr>
        <w:t xml:space="preserve">Различные условия поставки </w:t>
      </w:r>
    </w:p>
    <w:p w:rsidR="005A63E4" w:rsidRPr="00CC5DD7" w:rsidRDefault="005A63E4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01F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7">
        <w:rPr>
          <w:rFonts w:ascii="Times New Roman" w:hAnsi="Times New Roman" w:cs="Times New Roman"/>
          <w:sz w:val="28"/>
          <w:szCs w:val="28"/>
        </w:rPr>
        <w:t>На бирже существует много вариантов поставки биржевого товара, например, поставщиком до станции назначения, самовывоз покупателем по железной дороге или автотранспортом.</w:t>
      </w:r>
    </w:p>
    <w:p w:rsidR="00D101F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b/>
          <w:bCs/>
          <w:i/>
          <w:sz w:val="28"/>
          <w:szCs w:val="28"/>
        </w:rPr>
        <w:t>-Франко-вагон станция отправления</w:t>
      </w:r>
      <w:r w:rsidRPr="00CC5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DD7">
        <w:rPr>
          <w:rFonts w:ascii="Times New Roman" w:hAnsi="Times New Roman" w:cs="Times New Roman"/>
          <w:sz w:val="28"/>
          <w:szCs w:val="28"/>
        </w:rPr>
        <w:t>(переход права собственности на станции отправления, организация транспортировки до станции назначения осуществляется поставщиком за счет покупателя, стоимость транспортировки оплачивается покупателем сверх цены за товар);</w:t>
      </w:r>
    </w:p>
    <w:p w:rsidR="00D101F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b/>
          <w:bCs/>
          <w:i/>
          <w:sz w:val="28"/>
          <w:szCs w:val="28"/>
        </w:rPr>
        <w:t>-Самовывоз ж/д транспортом</w:t>
      </w:r>
      <w:r w:rsidRPr="00CC5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DD7">
        <w:rPr>
          <w:rFonts w:ascii="Times New Roman" w:hAnsi="Times New Roman" w:cs="Times New Roman"/>
          <w:sz w:val="28"/>
          <w:szCs w:val="28"/>
        </w:rPr>
        <w:t>(переход права собственности на станции отправления, организация транспортировки осуществляется покупателем самостоятельно);</w:t>
      </w:r>
    </w:p>
    <w:p w:rsidR="00D101F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b/>
          <w:bCs/>
          <w:i/>
          <w:sz w:val="28"/>
          <w:szCs w:val="28"/>
        </w:rPr>
        <w:t>-Самовывоз автотранспортом</w:t>
      </w:r>
      <w:r w:rsidRPr="00CC5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DD7">
        <w:rPr>
          <w:rFonts w:ascii="Times New Roman" w:hAnsi="Times New Roman" w:cs="Times New Roman"/>
          <w:sz w:val="28"/>
          <w:szCs w:val="28"/>
        </w:rPr>
        <w:t>(переход права собственности осуществляется на складе поставщика, организация транспортировки осуществляется покупателем самостоятельно);</w:t>
      </w:r>
    </w:p>
    <w:p w:rsidR="00D101F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b/>
          <w:bCs/>
          <w:i/>
          <w:sz w:val="28"/>
          <w:szCs w:val="28"/>
        </w:rPr>
        <w:t>-Франко-вагон станция назначения</w:t>
      </w:r>
      <w:r w:rsidRPr="00CC5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DD7">
        <w:rPr>
          <w:rFonts w:ascii="Times New Roman" w:hAnsi="Times New Roman" w:cs="Times New Roman"/>
          <w:sz w:val="28"/>
          <w:szCs w:val="28"/>
        </w:rPr>
        <w:t>(переход права собственности на станции назначения, организация транспортировки до станции назначения осуществляется поставщиком за счет покупателя, стоимость транспортировки включена в стоимость товара);</w:t>
      </w:r>
    </w:p>
    <w:p w:rsidR="00D101F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7">
        <w:rPr>
          <w:rFonts w:ascii="Times New Roman" w:hAnsi="Times New Roman" w:cs="Times New Roman"/>
          <w:bCs/>
          <w:i/>
          <w:sz w:val="28"/>
          <w:szCs w:val="28"/>
        </w:rPr>
        <w:t>-10 рабочих дней</w:t>
      </w:r>
      <w:r w:rsidRPr="00CC5DD7">
        <w:rPr>
          <w:rFonts w:ascii="Times New Roman" w:hAnsi="Times New Roman" w:cs="Times New Roman"/>
          <w:sz w:val="28"/>
          <w:szCs w:val="28"/>
        </w:rPr>
        <w:t xml:space="preserve"> при поставке на условиях «</w:t>
      </w:r>
      <w:r w:rsidRPr="00CC5DD7">
        <w:rPr>
          <w:rFonts w:ascii="Times New Roman" w:hAnsi="Times New Roman" w:cs="Times New Roman"/>
          <w:b/>
          <w:sz w:val="28"/>
          <w:szCs w:val="28"/>
        </w:rPr>
        <w:t>самовывоз автотранспортом»;</w:t>
      </w:r>
    </w:p>
    <w:p w:rsidR="00D101F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bCs/>
          <w:i/>
          <w:sz w:val="28"/>
          <w:szCs w:val="28"/>
        </w:rPr>
        <w:lastRenderedPageBreak/>
        <w:t>-30 календарных дней</w:t>
      </w:r>
      <w:r w:rsidRPr="00CC5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DD7">
        <w:rPr>
          <w:rFonts w:ascii="Times New Roman" w:hAnsi="Times New Roman" w:cs="Times New Roman"/>
          <w:sz w:val="28"/>
          <w:szCs w:val="28"/>
        </w:rPr>
        <w:t>при поставке на условиях «франко-вагон станция отправления», «франко-вагон станция назначения» и «самовывоз железнодорожным транспортом»;</w:t>
      </w:r>
    </w:p>
    <w:p w:rsidR="00D101F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DD7">
        <w:rPr>
          <w:rFonts w:ascii="Times New Roman" w:hAnsi="Times New Roman" w:cs="Times New Roman"/>
          <w:b/>
          <w:i/>
          <w:sz w:val="28"/>
          <w:szCs w:val="28"/>
        </w:rPr>
        <w:t xml:space="preserve">- В будущем возможен запуск торгов </w:t>
      </w:r>
      <w:proofErr w:type="spellStart"/>
      <w:r w:rsidRPr="00CC5DD7">
        <w:rPr>
          <w:rFonts w:ascii="Times New Roman" w:hAnsi="Times New Roman" w:cs="Times New Roman"/>
          <w:b/>
          <w:i/>
          <w:sz w:val="28"/>
          <w:szCs w:val="28"/>
        </w:rPr>
        <w:t>деривативами</w:t>
      </w:r>
      <w:proofErr w:type="spellEnd"/>
      <w:r w:rsidRPr="00CC5DD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101F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sz w:val="28"/>
          <w:szCs w:val="28"/>
        </w:rPr>
        <w:t xml:space="preserve"> Запуск биржевых торгов производными финансовыми инструментами </w:t>
      </w:r>
      <w:r w:rsidR="005A63E4" w:rsidRPr="00CC5DD7">
        <w:rPr>
          <w:rFonts w:ascii="Times New Roman" w:hAnsi="Times New Roman" w:cs="Times New Roman"/>
          <w:sz w:val="28"/>
          <w:szCs w:val="28"/>
        </w:rPr>
        <w:t xml:space="preserve">(ПФИ) </w:t>
      </w:r>
      <w:r w:rsidRPr="00CC5DD7">
        <w:rPr>
          <w:rFonts w:ascii="Times New Roman" w:hAnsi="Times New Roman" w:cs="Times New Roman"/>
          <w:sz w:val="28"/>
          <w:szCs w:val="28"/>
        </w:rPr>
        <w:t>возможен только при наличии достаточно ликвидного открытого рынка товара, на котором формируются прозрачные ценовые индикаторы конкурентной рыночной цены. П</w:t>
      </w:r>
      <w:r w:rsidR="005A63E4" w:rsidRPr="00CC5DD7">
        <w:rPr>
          <w:rFonts w:ascii="Times New Roman" w:hAnsi="Times New Roman" w:cs="Times New Roman"/>
          <w:sz w:val="28"/>
          <w:szCs w:val="28"/>
        </w:rPr>
        <w:t>ФИ</w:t>
      </w:r>
      <w:r w:rsidRPr="00CC5DD7">
        <w:rPr>
          <w:rFonts w:ascii="Times New Roman" w:hAnsi="Times New Roman" w:cs="Times New Roman"/>
          <w:sz w:val="28"/>
          <w:szCs w:val="28"/>
        </w:rPr>
        <w:t xml:space="preserve"> являются инструментом хеджирования рисков изменения цены на подобном рынке. </w:t>
      </w:r>
    </w:p>
    <w:p w:rsidR="00CC5DD7" w:rsidRDefault="00D101F9" w:rsidP="00CC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sz w:val="28"/>
          <w:szCs w:val="28"/>
        </w:rPr>
        <w:t xml:space="preserve">В любом случае, торги </w:t>
      </w:r>
      <w:proofErr w:type="spellStart"/>
      <w:r w:rsidRPr="00CC5DD7">
        <w:rPr>
          <w:rFonts w:ascii="Times New Roman" w:hAnsi="Times New Roman" w:cs="Times New Roman"/>
          <w:sz w:val="28"/>
          <w:szCs w:val="28"/>
        </w:rPr>
        <w:t>деривативами</w:t>
      </w:r>
      <w:proofErr w:type="spellEnd"/>
      <w:r w:rsidRPr="00CC5DD7">
        <w:rPr>
          <w:rFonts w:ascii="Times New Roman" w:hAnsi="Times New Roman" w:cs="Times New Roman"/>
          <w:sz w:val="28"/>
          <w:szCs w:val="28"/>
        </w:rPr>
        <w:t xml:space="preserve"> могут начаться не ранее появления репрезентативных ценовых индикаторов рыночной цены на биржевых торгах физическим товаром. </w:t>
      </w:r>
    </w:p>
    <w:p w:rsidR="00CC5DD7" w:rsidRDefault="00CC5DD7" w:rsidP="00CC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1F9" w:rsidRPr="00CC5DD7" w:rsidRDefault="00F028DF" w:rsidP="00CC5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7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D101F9" w:rsidRPr="00CC5DD7">
        <w:rPr>
          <w:rFonts w:ascii="Times New Roman" w:hAnsi="Times New Roman" w:cs="Times New Roman"/>
          <w:b/>
          <w:sz w:val="28"/>
          <w:szCs w:val="28"/>
        </w:rPr>
        <w:t xml:space="preserve">реимущества биржевых торгов для продавцов, покупателей и регуляторов. </w:t>
      </w:r>
    </w:p>
    <w:p w:rsidR="001C459C" w:rsidRPr="00CC5DD7" w:rsidRDefault="001C459C" w:rsidP="001C459C">
      <w:pPr>
        <w:rPr>
          <w:rFonts w:ascii="Times New Roman" w:hAnsi="Times New Roman" w:cs="Times New Roman"/>
          <w:sz w:val="28"/>
          <w:szCs w:val="28"/>
        </w:rPr>
      </w:pPr>
    </w:p>
    <w:p w:rsidR="00D101F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sz w:val="28"/>
          <w:szCs w:val="28"/>
        </w:rPr>
        <w:t>Биржевые торги выгодны для всех</w:t>
      </w:r>
      <w:r w:rsidR="001C459C" w:rsidRPr="00CC5DD7">
        <w:rPr>
          <w:rFonts w:ascii="Times New Roman" w:hAnsi="Times New Roman" w:cs="Times New Roman"/>
          <w:sz w:val="28"/>
          <w:szCs w:val="28"/>
        </w:rPr>
        <w:t>, поскольку</w:t>
      </w:r>
      <w:r w:rsidRPr="00CC5DD7">
        <w:rPr>
          <w:rFonts w:ascii="Times New Roman" w:hAnsi="Times New Roman" w:cs="Times New Roman"/>
          <w:sz w:val="28"/>
          <w:szCs w:val="28"/>
        </w:rPr>
        <w:t xml:space="preserve"> предоставляют равный конкурентный доступ к товару, соответственно, сокращается количество посредников. За счет сокращения посредников, продавец может продать на биржевых торг</w:t>
      </w:r>
      <w:r w:rsidR="005169CC" w:rsidRPr="00CC5DD7">
        <w:rPr>
          <w:rFonts w:ascii="Times New Roman" w:hAnsi="Times New Roman" w:cs="Times New Roman"/>
          <w:sz w:val="28"/>
          <w:szCs w:val="28"/>
        </w:rPr>
        <w:t>ах дороже, а покупатель приобре</w:t>
      </w:r>
      <w:r w:rsidRPr="00CC5DD7">
        <w:rPr>
          <w:rFonts w:ascii="Times New Roman" w:hAnsi="Times New Roman" w:cs="Times New Roman"/>
          <w:sz w:val="28"/>
          <w:szCs w:val="28"/>
        </w:rPr>
        <w:t xml:space="preserve">сти товар дешевле, чем на внебиржевом рынке. </w:t>
      </w:r>
      <w:r w:rsidR="004E2C79" w:rsidRPr="00CC5DD7">
        <w:rPr>
          <w:rFonts w:ascii="Times New Roman" w:hAnsi="Times New Roman" w:cs="Times New Roman"/>
          <w:b/>
          <w:i/>
          <w:sz w:val="28"/>
          <w:szCs w:val="28"/>
        </w:rPr>
        <w:t>Для производителей</w:t>
      </w:r>
      <w:r w:rsidR="004E2C79" w:rsidRPr="00CC5DD7">
        <w:rPr>
          <w:rFonts w:ascii="Times New Roman" w:hAnsi="Times New Roman" w:cs="Times New Roman"/>
          <w:sz w:val="28"/>
          <w:szCs w:val="28"/>
        </w:rPr>
        <w:t xml:space="preserve"> биржевые торги являются и новым каналом сбыта своей продукции, который гарантирует своевременную оплату товара. </w:t>
      </w:r>
      <w:r w:rsidR="004E2C79" w:rsidRPr="00CC5DD7">
        <w:rPr>
          <w:rFonts w:ascii="Times New Roman" w:hAnsi="Times New Roman" w:cs="Times New Roman"/>
          <w:b/>
          <w:i/>
          <w:sz w:val="28"/>
          <w:szCs w:val="28"/>
        </w:rPr>
        <w:t>Для покупателей</w:t>
      </w:r>
      <w:r w:rsidR="004E2C79" w:rsidRPr="00CC5DD7">
        <w:rPr>
          <w:rFonts w:ascii="Times New Roman" w:hAnsi="Times New Roman" w:cs="Times New Roman"/>
          <w:sz w:val="28"/>
          <w:szCs w:val="28"/>
        </w:rPr>
        <w:t xml:space="preserve"> биржевая площадка является точкой концентрации спроса и предложения, где можно найти контрагентов и приобрести товар по конкурентной цене. </w:t>
      </w:r>
    </w:p>
    <w:p w:rsidR="004E2C79" w:rsidRPr="00CC5DD7" w:rsidRDefault="00D101F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sz w:val="28"/>
          <w:szCs w:val="28"/>
        </w:rPr>
        <w:t xml:space="preserve">При этом биржа является совершенным инструментом рыночного ценообразования, </w:t>
      </w:r>
      <w:r w:rsidR="004E2C79" w:rsidRPr="00CC5DD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CC5DD7">
        <w:rPr>
          <w:rFonts w:ascii="Times New Roman" w:hAnsi="Times New Roman" w:cs="Times New Roman"/>
          <w:sz w:val="28"/>
          <w:szCs w:val="28"/>
        </w:rPr>
        <w:t>государство получает прозрачные репрезентативные ценовые индикаторы, видит движение товара по РФ.</w:t>
      </w:r>
      <w:r w:rsidR="00F028DF" w:rsidRPr="00CC5DD7">
        <w:rPr>
          <w:rFonts w:ascii="Times New Roman" w:hAnsi="Times New Roman" w:cs="Times New Roman"/>
          <w:sz w:val="28"/>
          <w:szCs w:val="28"/>
        </w:rPr>
        <w:t xml:space="preserve"> Использование современных технологий обеспечивает возможность полной </w:t>
      </w:r>
      <w:proofErr w:type="spellStart"/>
      <w:r w:rsidR="00F028DF" w:rsidRPr="00CC5DD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F028DF" w:rsidRPr="00CC5DD7">
        <w:rPr>
          <w:rFonts w:ascii="Times New Roman" w:hAnsi="Times New Roman" w:cs="Times New Roman"/>
          <w:sz w:val="28"/>
          <w:szCs w:val="28"/>
        </w:rPr>
        <w:t xml:space="preserve"> и отслеживания движения товара по всей цепочке от производителя до потребителя. </w:t>
      </w:r>
    </w:p>
    <w:p w:rsidR="005169CC" w:rsidRPr="00CC5DD7" w:rsidRDefault="005169CC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sz w:val="28"/>
          <w:szCs w:val="28"/>
        </w:rPr>
        <w:t xml:space="preserve">Еще одним существенным преимуществом модели биржевых торгов, предлагаемых </w:t>
      </w:r>
      <w:proofErr w:type="spellStart"/>
      <w:r w:rsidRPr="00CC5DD7">
        <w:rPr>
          <w:rFonts w:ascii="Times New Roman" w:hAnsi="Times New Roman" w:cs="Times New Roman"/>
          <w:sz w:val="28"/>
          <w:szCs w:val="28"/>
        </w:rPr>
        <w:t>СПбМТСБ</w:t>
      </w:r>
      <w:proofErr w:type="spellEnd"/>
      <w:r w:rsidRPr="00CC5DD7">
        <w:rPr>
          <w:rFonts w:ascii="Times New Roman" w:hAnsi="Times New Roman" w:cs="Times New Roman"/>
          <w:sz w:val="28"/>
          <w:szCs w:val="28"/>
        </w:rPr>
        <w:t xml:space="preserve">, является организация биржевых торгов на действующей инфраструктуре. Базисами поставки биржевого товара будут являться действующие склады и холодильники. Для запуска биржевых торгов не требуется никаких инвестиций в строительство новой инфраструктуры или переоборудования действующей. </w:t>
      </w:r>
    </w:p>
    <w:p w:rsidR="00550B93" w:rsidRPr="00CC5DD7" w:rsidRDefault="00550B93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C79" w:rsidRPr="00CC5DD7" w:rsidRDefault="004E2C7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C459C" w:rsidRPr="00CC5DD7" w:rsidRDefault="001C459C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C79" w:rsidRPr="00CC5DD7" w:rsidRDefault="004E2C79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DD7">
        <w:rPr>
          <w:rFonts w:ascii="Times New Roman" w:hAnsi="Times New Roman" w:cs="Times New Roman"/>
          <w:sz w:val="28"/>
          <w:szCs w:val="28"/>
        </w:rPr>
        <w:t>Нестандартизованная</w:t>
      </w:r>
      <w:proofErr w:type="spellEnd"/>
      <w:r w:rsidRPr="00CC5DD7">
        <w:rPr>
          <w:rFonts w:ascii="Times New Roman" w:hAnsi="Times New Roman" w:cs="Times New Roman"/>
          <w:sz w:val="28"/>
          <w:szCs w:val="28"/>
        </w:rPr>
        <w:t xml:space="preserve"> (уникальная) продукция (в </w:t>
      </w:r>
      <w:proofErr w:type="spellStart"/>
      <w:r w:rsidRPr="00CC5DD7">
        <w:rPr>
          <w:rFonts w:ascii="Times New Roman" w:hAnsi="Times New Roman" w:cs="Times New Roman"/>
          <w:sz w:val="28"/>
          <w:szCs w:val="28"/>
        </w:rPr>
        <w:t>т</w:t>
      </w:r>
      <w:r w:rsidR="005A63E4" w:rsidRPr="00CC5DD7">
        <w:rPr>
          <w:rFonts w:ascii="Times New Roman" w:hAnsi="Times New Roman" w:cs="Times New Roman"/>
          <w:sz w:val="28"/>
          <w:szCs w:val="28"/>
        </w:rPr>
        <w:t>.ч.</w:t>
      </w:r>
      <w:r w:rsidRPr="00CC5DD7">
        <w:rPr>
          <w:rFonts w:ascii="Times New Roman" w:hAnsi="Times New Roman" w:cs="Times New Roman"/>
          <w:sz w:val="28"/>
          <w:szCs w:val="28"/>
        </w:rPr>
        <w:t>уловы</w:t>
      </w:r>
      <w:proofErr w:type="spellEnd"/>
      <w:r w:rsidRPr="00CC5DD7">
        <w:rPr>
          <w:rFonts w:ascii="Times New Roman" w:hAnsi="Times New Roman" w:cs="Times New Roman"/>
          <w:sz w:val="28"/>
          <w:szCs w:val="28"/>
        </w:rPr>
        <w:t xml:space="preserve">) может продаваться на </w:t>
      </w:r>
      <w:r w:rsidR="005A63E4" w:rsidRPr="00CC5DD7">
        <w:rPr>
          <w:rFonts w:ascii="Times New Roman" w:hAnsi="Times New Roman" w:cs="Times New Roman"/>
          <w:sz w:val="28"/>
          <w:szCs w:val="28"/>
        </w:rPr>
        <w:t>э</w:t>
      </w:r>
      <w:r w:rsidRPr="00CC5DD7">
        <w:rPr>
          <w:rFonts w:ascii="Times New Roman" w:hAnsi="Times New Roman" w:cs="Times New Roman"/>
          <w:sz w:val="28"/>
          <w:szCs w:val="28"/>
        </w:rPr>
        <w:t>лектронных торговых площадках</w:t>
      </w:r>
      <w:r w:rsidR="005A63E4" w:rsidRPr="00CC5DD7">
        <w:rPr>
          <w:rFonts w:ascii="Times New Roman" w:hAnsi="Times New Roman" w:cs="Times New Roman"/>
          <w:sz w:val="28"/>
          <w:szCs w:val="28"/>
        </w:rPr>
        <w:t xml:space="preserve"> (ЭТП)</w:t>
      </w:r>
      <w:r w:rsidRPr="00CC5DD7">
        <w:rPr>
          <w:rFonts w:ascii="Times New Roman" w:hAnsi="Times New Roman" w:cs="Times New Roman"/>
          <w:sz w:val="28"/>
          <w:szCs w:val="28"/>
        </w:rPr>
        <w:t xml:space="preserve">. Однако следует иметь в виду, что </w:t>
      </w:r>
      <w:r w:rsidR="00F028DF" w:rsidRPr="00CC5DD7">
        <w:rPr>
          <w:rFonts w:ascii="Times New Roman" w:hAnsi="Times New Roman" w:cs="Times New Roman"/>
          <w:sz w:val="28"/>
          <w:szCs w:val="28"/>
        </w:rPr>
        <w:t xml:space="preserve">в ходе торгов на ЭТП не происходит заключение сделки, а </w:t>
      </w:r>
      <w:r w:rsidR="00F028DF" w:rsidRPr="00CC5DD7">
        <w:rPr>
          <w:rFonts w:ascii="Times New Roman" w:hAnsi="Times New Roman" w:cs="Times New Roman"/>
          <w:sz w:val="28"/>
          <w:szCs w:val="28"/>
        </w:rPr>
        <w:lastRenderedPageBreak/>
        <w:t xml:space="preserve">лишь </w:t>
      </w:r>
      <w:r w:rsidRPr="00CC5DD7">
        <w:rPr>
          <w:rFonts w:ascii="Times New Roman" w:hAnsi="Times New Roman" w:cs="Times New Roman"/>
          <w:sz w:val="28"/>
          <w:szCs w:val="28"/>
        </w:rPr>
        <w:t>определя</w:t>
      </w:r>
      <w:r w:rsidR="00F028DF" w:rsidRPr="00CC5DD7">
        <w:rPr>
          <w:rFonts w:ascii="Times New Roman" w:hAnsi="Times New Roman" w:cs="Times New Roman"/>
          <w:sz w:val="28"/>
          <w:szCs w:val="28"/>
        </w:rPr>
        <w:t>е</w:t>
      </w:r>
      <w:r w:rsidRPr="00CC5DD7">
        <w:rPr>
          <w:rFonts w:ascii="Times New Roman" w:hAnsi="Times New Roman" w:cs="Times New Roman"/>
          <w:sz w:val="28"/>
          <w:szCs w:val="28"/>
        </w:rPr>
        <w:t>т</w:t>
      </w:r>
      <w:r w:rsidR="00F028DF" w:rsidRPr="00CC5DD7">
        <w:rPr>
          <w:rFonts w:ascii="Times New Roman" w:hAnsi="Times New Roman" w:cs="Times New Roman"/>
          <w:sz w:val="28"/>
          <w:szCs w:val="28"/>
        </w:rPr>
        <w:t>ся</w:t>
      </w:r>
      <w:r w:rsidRPr="00CC5DD7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F028DF" w:rsidRPr="00CC5DD7">
        <w:rPr>
          <w:rFonts w:ascii="Times New Roman" w:hAnsi="Times New Roman" w:cs="Times New Roman"/>
          <w:sz w:val="28"/>
          <w:szCs w:val="28"/>
        </w:rPr>
        <w:t>ь</w:t>
      </w:r>
      <w:r w:rsidRPr="00CC5DD7">
        <w:rPr>
          <w:rFonts w:ascii="Times New Roman" w:hAnsi="Times New Roman" w:cs="Times New Roman"/>
          <w:sz w:val="28"/>
          <w:szCs w:val="28"/>
        </w:rPr>
        <w:t xml:space="preserve">. </w:t>
      </w:r>
      <w:r w:rsidR="00F028DF" w:rsidRPr="00CC5DD7">
        <w:rPr>
          <w:rFonts w:ascii="Times New Roman" w:hAnsi="Times New Roman" w:cs="Times New Roman"/>
          <w:sz w:val="28"/>
          <w:szCs w:val="28"/>
        </w:rPr>
        <w:t xml:space="preserve">Сделка заключается позже по результатам торгов. </w:t>
      </w:r>
      <w:r w:rsidRPr="00CC5DD7">
        <w:rPr>
          <w:rFonts w:ascii="Times New Roman" w:hAnsi="Times New Roman" w:cs="Times New Roman"/>
          <w:sz w:val="28"/>
          <w:szCs w:val="28"/>
        </w:rPr>
        <w:t xml:space="preserve">Цена, сформированная на торгах, может быть впоследствии изменена контрагентами и не может использоваться для формирования репрезентативных индикаторов рыночной цены. Отсутствие стандартизации товара снижает ликвидность торгов и не позволяет в полной мере автоматизировать процессы торговли. </w:t>
      </w:r>
    </w:p>
    <w:p w:rsidR="00F028DF" w:rsidRPr="00CC5DD7" w:rsidRDefault="00F028DF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sz w:val="28"/>
          <w:szCs w:val="28"/>
        </w:rPr>
        <w:t xml:space="preserve">В связи с вышеизложенным, вся стандартная рыбная продукция должна продаваться исключительно на биржевых торгах. </w:t>
      </w:r>
      <w:r w:rsidR="004E2C79" w:rsidRPr="00CC5DD7">
        <w:rPr>
          <w:rFonts w:ascii="Times New Roman" w:hAnsi="Times New Roman" w:cs="Times New Roman"/>
          <w:sz w:val="28"/>
          <w:szCs w:val="28"/>
        </w:rPr>
        <w:t xml:space="preserve">В соответствии с Указом </w:t>
      </w:r>
      <w:r w:rsidR="005A63E4" w:rsidRPr="00CC5DD7">
        <w:rPr>
          <w:rFonts w:ascii="Times New Roman" w:hAnsi="Times New Roman" w:cs="Times New Roman"/>
          <w:sz w:val="28"/>
          <w:szCs w:val="28"/>
        </w:rPr>
        <w:t>П</w:t>
      </w:r>
      <w:r w:rsidR="004E2C79" w:rsidRPr="00CC5DD7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="005A63E4" w:rsidRPr="00CC5DD7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E2C79" w:rsidRPr="00CC5DD7">
        <w:rPr>
          <w:rFonts w:ascii="Times New Roman" w:hAnsi="Times New Roman" w:cs="Times New Roman"/>
          <w:sz w:val="28"/>
          <w:szCs w:val="28"/>
        </w:rPr>
        <w:t xml:space="preserve">№618, биржевая торговля является одним из основных направлений </w:t>
      </w:r>
      <w:proofErr w:type="spellStart"/>
      <w:r w:rsidR="004E2C79" w:rsidRPr="00CC5DD7">
        <w:rPr>
          <w:rFonts w:ascii="Times New Roman" w:hAnsi="Times New Roman" w:cs="Times New Roman"/>
          <w:sz w:val="28"/>
          <w:szCs w:val="28"/>
        </w:rPr>
        <w:t>госполитики</w:t>
      </w:r>
      <w:proofErr w:type="spellEnd"/>
      <w:r w:rsidR="004E2C79" w:rsidRPr="00CC5DD7">
        <w:rPr>
          <w:rFonts w:ascii="Times New Roman" w:hAnsi="Times New Roman" w:cs="Times New Roman"/>
          <w:sz w:val="28"/>
          <w:szCs w:val="28"/>
        </w:rPr>
        <w:t xml:space="preserve"> по развитию конкуренции. Биржа является наиболее эффективным механизмом обеспечения конкуренции как среди продавцов, так и среди покупателей, а также обеспечивает недискриминационный доступ участников торгов к биржевому товару. </w:t>
      </w:r>
      <w:r w:rsidRPr="00CC5DD7">
        <w:rPr>
          <w:rFonts w:ascii="Times New Roman" w:hAnsi="Times New Roman" w:cs="Times New Roman"/>
          <w:sz w:val="28"/>
          <w:szCs w:val="28"/>
        </w:rPr>
        <w:t xml:space="preserve">Только биржевые торги обеспечивают решение </w:t>
      </w:r>
      <w:r w:rsidR="004E2C79" w:rsidRPr="00CC5DD7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5A63E4" w:rsidRPr="00CC5DD7">
        <w:rPr>
          <w:rFonts w:ascii="Times New Roman" w:hAnsi="Times New Roman" w:cs="Times New Roman"/>
          <w:sz w:val="28"/>
          <w:szCs w:val="28"/>
        </w:rPr>
        <w:t>П</w:t>
      </w:r>
      <w:r w:rsidR="004E2C79" w:rsidRPr="00CC5DD7">
        <w:rPr>
          <w:rFonts w:ascii="Times New Roman" w:hAnsi="Times New Roman" w:cs="Times New Roman"/>
          <w:sz w:val="28"/>
          <w:szCs w:val="28"/>
        </w:rPr>
        <w:t>резидентом и Правительством</w:t>
      </w:r>
      <w:r w:rsidR="005A63E4" w:rsidRPr="00CC5DD7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E2C79" w:rsidRPr="00CC5DD7">
        <w:rPr>
          <w:rFonts w:ascii="Times New Roman" w:hAnsi="Times New Roman" w:cs="Times New Roman"/>
          <w:sz w:val="28"/>
          <w:szCs w:val="28"/>
        </w:rPr>
        <w:t xml:space="preserve">целей и задач по развитию конкуренции и формированию репрезентативных индикаторов рыночной цены, а также по </w:t>
      </w:r>
      <w:r w:rsidRPr="00CC5DD7">
        <w:rPr>
          <w:rFonts w:ascii="Times New Roman" w:hAnsi="Times New Roman" w:cs="Times New Roman"/>
          <w:sz w:val="28"/>
          <w:szCs w:val="28"/>
        </w:rPr>
        <w:t xml:space="preserve">балансировке рынка и </w:t>
      </w:r>
      <w:r w:rsidR="004E2C79" w:rsidRPr="00CC5DD7">
        <w:rPr>
          <w:rFonts w:ascii="Times New Roman" w:hAnsi="Times New Roman" w:cs="Times New Roman"/>
          <w:sz w:val="28"/>
          <w:szCs w:val="28"/>
        </w:rPr>
        <w:t>стабилизации цен в условиях вводимых ограничений на внешних рынках</w:t>
      </w:r>
      <w:r w:rsidRPr="00CC5DD7">
        <w:rPr>
          <w:rFonts w:ascii="Times New Roman" w:hAnsi="Times New Roman" w:cs="Times New Roman"/>
          <w:sz w:val="28"/>
          <w:szCs w:val="28"/>
        </w:rPr>
        <w:t>.</w:t>
      </w:r>
      <w:r w:rsidR="004E2C79" w:rsidRPr="00CC5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E30" w:rsidRPr="00CC5DD7" w:rsidRDefault="000C2E30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30" w:rsidRPr="00CC5DD7" w:rsidRDefault="000C2E30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7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C459C" w:rsidRPr="00CC5DD7" w:rsidRDefault="001C459C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06" w:rsidRPr="00CC5DD7" w:rsidRDefault="005169CC" w:rsidP="005169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bCs/>
          <w:sz w:val="28"/>
          <w:szCs w:val="28"/>
        </w:rPr>
        <w:t xml:space="preserve">Определить развитие биржевой торговли рыбной и иной продукцией из водных биологических ресурсов в качестве одного из приоритетов и целей государственной политики в сфере реализации государственной программы Российской Федерации «Развитие </w:t>
      </w:r>
      <w:proofErr w:type="spellStart"/>
      <w:r w:rsidRPr="00CC5DD7">
        <w:rPr>
          <w:rFonts w:ascii="Times New Roman" w:hAnsi="Times New Roman" w:cs="Times New Roman"/>
          <w:bCs/>
          <w:sz w:val="28"/>
          <w:szCs w:val="28"/>
        </w:rPr>
        <w:t>рыбохозяйственного</w:t>
      </w:r>
      <w:proofErr w:type="spellEnd"/>
      <w:r w:rsidRPr="00CC5DD7">
        <w:rPr>
          <w:rFonts w:ascii="Times New Roman" w:hAnsi="Times New Roman" w:cs="Times New Roman"/>
          <w:bCs/>
          <w:sz w:val="28"/>
          <w:szCs w:val="28"/>
        </w:rPr>
        <w:t xml:space="preserve"> комплекса», утвержденной постановлением Правительства Российской Федерации от 15 апреля 2014 г. № 314</w:t>
      </w:r>
      <w:r w:rsidR="001C459C" w:rsidRPr="00CC5DD7">
        <w:rPr>
          <w:rFonts w:ascii="Times New Roman" w:hAnsi="Times New Roman" w:cs="Times New Roman"/>
          <w:bCs/>
          <w:sz w:val="28"/>
          <w:szCs w:val="28"/>
        </w:rPr>
        <w:t>.</w:t>
      </w:r>
    </w:p>
    <w:p w:rsidR="002B6806" w:rsidRPr="00CC5DD7" w:rsidRDefault="005169CC" w:rsidP="005169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D7">
        <w:rPr>
          <w:rFonts w:ascii="Times New Roman" w:hAnsi="Times New Roman" w:cs="Times New Roman"/>
          <w:bCs/>
          <w:sz w:val="28"/>
          <w:szCs w:val="28"/>
        </w:rPr>
        <w:t xml:space="preserve">Предусмотреть льготные тарифы на перевозку продукции железнодорожным транспортом рыбы и рыбной продукции, приобретенной на биржевых торгах. </w:t>
      </w:r>
      <w:r w:rsidRPr="00CC5DD7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Российской Федерации от 6 апреля 2019 г. № 406 изменения, предусматривающие компенсацию ОАО «РЖД» выпадающих доходов от установления льготных тарифов на перевозку рыбы и рыбной продукции. Дополнить подпункт "е" пункта 7 вторым абзацем следующего содержания: </w:t>
      </w:r>
    </w:p>
    <w:p w:rsidR="000C2E30" w:rsidRPr="00CC5DD7" w:rsidRDefault="000C2E30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DD7">
        <w:rPr>
          <w:rFonts w:ascii="Times New Roman" w:hAnsi="Times New Roman" w:cs="Times New Roman"/>
          <w:b/>
          <w:i/>
          <w:iCs/>
          <w:sz w:val="28"/>
          <w:szCs w:val="28"/>
        </w:rPr>
        <w:t>«заверенную уполномоченным лицом биржи выписку из биржевого реестра договоров с указанием цены закупки - в случае, если рыба и рыбная продукция приобретены на биржевых торгах, по итогам которых осуществляется клиринг без участия центрального контрагента».</w:t>
      </w:r>
    </w:p>
    <w:p w:rsidR="000C2E30" w:rsidRPr="00CC5DD7" w:rsidRDefault="000C2E30" w:rsidP="00516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D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C5DD7">
        <w:rPr>
          <w:rFonts w:ascii="Times New Roman" w:hAnsi="Times New Roman" w:cs="Times New Roman"/>
          <w:bCs/>
          <w:sz w:val="28"/>
          <w:szCs w:val="28"/>
        </w:rPr>
        <w:t xml:space="preserve"> Наделить Правительство Российской Федерации правом устанавливать минимальные объемы биржевых продаж на отдельные виды биржевого товара. Внести изменения в Федеральный закон от 20 декабря 2004 года № 166-ФЗ «О рыболовстве и сохранении водных биологических ресурсов», дополнив его статьей 7.4 следующего содержания: </w:t>
      </w:r>
      <w:r w:rsidRPr="00CC5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7.4. О </w:t>
      </w:r>
      <w:r w:rsidRPr="00CC5DD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реализации продукции из водных биологических ресурсов посредством биржевых торгов.</w:t>
      </w:r>
    </w:p>
    <w:p w:rsidR="000C2E30" w:rsidRPr="00CC5DD7" w:rsidRDefault="000C2E30" w:rsidP="005169C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C5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Минимальная величина продаваемых на бирже видов продукции из ВБР устанавливается Правительством Российской Федерации</w:t>
      </w:r>
      <w:r w:rsidRPr="00CC5DD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B6806" w:rsidRPr="00CC5DD7" w:rsidRDefault="005169CC" w:rsidP="005169C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DD7">
        <w:rPr>
          <w:rFonts w:ascii="Times New Roman" w:hAnsi="Times New Roman" w:cs="Times New Roman"/>
          <w:bCs/>
          <w:sz w:val="28"/>
          <w:szCs w:val="28"/>
        </w:rPr>
        <w:t xml:space="preserve">В случае утверждения п. 3 (изменения в Федеральный закон от 20 декабря 2004 года № 166-ФЗ) Правительству Российской Федерации разработать и утвердить </w:t>
      </w:r>
      <w:r w:rsidR="005A63E4" w:rsidRPr="00CC5DD7">
        <w:rPr>
          <w:rFonts w:ascii="Times New Roman" w:hAnsi="Times New Roman" w:cs="Times New Roman"/>
          <w:bCs/>
          <w:sz w:val="28"/>
          <w:szCs w:val="28"/>
        </w:rPr>
        <w:t>п</w:t>
      </w:r>
      <w:r w:rsidRPr="00CC5DD7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Правительства, устанавливающего минимальные объемы реализации продукции ВБР на биржевых торгах: </w:t>
      </w:r>
      <w:r w:rsidRPr="00CC5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целей применения статьи 7.4 Федерального закона от 20 декабря 2004 года № 166-ФЗ "О рыболовстве и сохранении водных биологических ресурсов" минимальная величина продаваемых на бирже видов продукции из трески и тресковых (треска дальневосточная, треска атлантическая, минтай, навага, а также лососевых (кета, горбуша, нерка, </w:t>
      </w:r>
      <w:proofErr w:type="spellStart"/>
      <w:r w:rsidRPr="00CC5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кижуч</w:t>
      </w:r>
      <w:proofErr w:type="spellEnd"/>
      <w:r w:rsidRPr="00CC5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составляет </w:t>
      </w:r>
      <w:r w:rsidRPr="00CC5D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не менее 20 процентов </w:t>
      </w:r>
      <w:r w:rsidRPr="00CC5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</w:t>
      </w:r>
      <w:r w:rsidRPr="00CC5DD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C5DD7">
        <w:rPr>
          <w:rFonts w:ascii="Times New Roman" w:hAnsi="Times New Roman" w:cs="Times New Roman"/>
          <w:b/>
          <w:bCs/>
          <w:iCs/>
          <w:sz w:val="28"/>
          <w:szCs w:val="28"/>
        </w:rPr>
        <w:t>общего объема произведенной продукции каждого из указанных видов водных биологических ресурсов в течение года.</w:t>
      </w:r>
    </w:p>
    <w:p w:rsidR="002B6806" w:rsidRPr="00CC5DD7" w:rsidRDefault="005169CC" w:rsidP="00516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Минимальная величина продаваемых на бирже видов продукции из трески и тресковых (треска дальневосточная, треска атлантическая, минтай, навага, а также лососевых (кета, горбуша, нерка, </w:t>
      </w:r>
      <w:proofErr w:type="spellStart"/>
      <w:r w:rsidRPr="00CC5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кижуч</w:t>
      </w:r>
      <w:proofErr w:type="spellEnd"/>
      <w:r w:rsidRPr="00CC5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рассчитывается от годового объема произведенной продукции хозяйствующим субъектом, в том числе лицами, входящими в одну группу лиц с таким хозяйствующим субъектом.</w:t>
      </w:r>
    </w:p>
    <w:p w:rsidR="002B6806" w:rsidRPr="00CC5DD7" w:rsidRDefault="002B6806" w:rsidP="00516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30" w:rsidRPr="00CC5DD7" w:rsidRDefault="000C2E30" w:rsidP="005169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1F9" w:rsidRDefault="00D101F9" w:rsidP="00D101F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0"/>
        </w:rPr>
      </w:pPr>
    </w:p>
    <w:sectPr w:rsidR="00D101F9" w:rsidSect="00D869B9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4A" w:rsidRDefault="0017694A" w:rsidP="00CC5DD7">
      <w:pPr>
        <w:spacing w:after="0" w:line="240" w:lineRule="auto"/>
      </w:pPr>
      <w:r>
        <w:separator/>
      </w:r>
    </w:p>
  </w:endnote>
  <w:endnote w:type="continuationSeparator" w:id="0">
    <w:p w:rsidR="0017694A" w:rsidRDefault="0017694A" w:rsidP="00CC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682717"/>
      <w:docPartObj>
        <w:docPartGallery w:val="Page Numbers (Bottom of Page)"/>
        <w:docPartUnique/>
      </w:docPartObj>
    </w:sdtPr>
    <w:sdtContent>
      <w:p w:rsidR="00C4020F" w:rsidRDefault="00C402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C15">
          <w:rPr>
            <w:noProof/>
          </w:rPr>
          <w:t>5</w:t>
        </w:r>
        <w:r>
          <w:fldChar w:fldCharType="end"/>
        </w:r>
      </w:p>
    </w:sdtContent>
  </w:sdt>
  <w:p w:rsidR="00C4020F" w:rsidRDefault="00C402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510003"/>
      <w:docPartObj>
        <w:docPartGallery w:val="Page Numbers (Bottom of Page)"/>
        <w:docPartUnique/>
      </w:docPartObj>
    </w:sdtPr>
    <w:sdtContent>
      <w:p w:rsidR="00C4020F" w:rsidRDefault="00C402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C15">
          <w:rPr>
            <w:noProof/>
          </w:rPr>
          <w:t>1</w:t>
        </w:r>
        <w:r>
          <w:fldChar w:fldCharType="end"/>
        </w:r>
      </w:p>
    </w:sdtContent>
  </w:sdt>
  <w:p w:rsidR="00C4020F" w:rsidRDefault="00C402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4A" w:rsidRDefault="0017694A" w:rsidP="00CC5DD7">
      <w:pPr>
        <w:spacing w:after="0" w:line="240" w:lineRule="auto"/>
      </w:pPr>
      <w:r>
        <w:separator/>
      </w:r>
    </w:p>
  </w:footnote>
  <w:footnote w:type="continuationSeparator" w:id="0">
    <w:p w:rsidR="0017694A" w:rsidRDefault="0017694A" w:rsidP="00CC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B9" w:rsidRDefault="00D869B9">
    <w:pPr>
      <w:pStyle w:val="a5"/>
      <w:jc w:val="center"/>
    </w:pPr>
  </w:p>
  <w:p w:rsidR="00CC5DD7" w:rsidRDefault="00CC5D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26B7C"/>
    <w:multiLevelType w:val="hybridMultilevel"/>
    <w:tmpl w:val="372A9C36"/>
    <w:lvl w:ilvl="0" w:tplc="6920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80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A9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07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CE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6A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8E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23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65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1758E"/>
    <w:multiLevelType w:val="hybridMultilevel"/>
    <w:tmpl w:val="0F9C558A"/>
    <w:lvl w:ilvl="0" w:tplc="F87C30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F2D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E0D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E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82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C1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60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08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EB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B55C1"/>
    <w:multiLevelType w:val="hybridMultilevel"/>
    <w:tmpl w:val="AF6C66CC"/>
    <w:lvl w:ilvl="0" w:tplc="084C8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86016"/>
    <w:multiLevelType w:val="hybridMultilevel"/>
    <w:tmpl w:val="D876A7A0"/>
    <w:lvl w:ilvl="0" w:tplc="4D1229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C651BC"/>
    <w:multiLevelType w:val="hybridMultilevel"/>
    <w:tmpl w:val="E32CCAB2"/>
    <w:lvl w:ilvl="0" w:tplc="A8C41B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656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01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E1F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6DA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25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E26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24E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A75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F9"/>
    <w:rsid w:val="000C2E30"/>
    <w:rsid w:val="001753F8"/>
    <w:rsid w:val="0017694A"/>
    <w:rsid w:val="001C459C"/>
    <w:rsid w:val="002B6806"/>
    <w:rsid w:val="004E2C79"/>
    <w:rsid w:val="005169CC"/>
    <w:rsid w:val="00517826"/>
    <w:rsid w:val="00550B93"/>
    <w:rsid w:val="005A63E4"/>
    <w:rsid w:val="006210FA"/>
    <w:rsid w:val="0062390C"/>
    <w:rsid w:val="006D1558"/>
    <w:rsid w:val="0082526B"/>
    <w:rsid w:val="00B243E5"/>
    <w:rsid w:val="00C4020F"/>
    <w:rsid w:val="00CC5DD7"/>
    <w:rsid w:val="00CD4C15"/>
    <w:rsid w:val="00D04549"/>
    <w:rsid w:val="00D101F9"/>
    <w:rsid w:val="00D869B9"/>
    <w:rsid w:val="00E61C84"/>
    <w:rsid w:val="00E94ECB"/>
    <w:rsid w:val="00F028DF"/>
    <w:rsid w:val="00F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F4BE6-F384-428B-803B-559A0C25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F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10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1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101F9"/>
    <w:pPr>
      <w:ind w:left="720"/>
      <w:contextualSpacing/>
    </w:pPr>
  </w:style>
  <w:style w:type="paragraph" w:customStyle="1" w:styleId="xmsonormal">
    <w:name w:val="x_msonormal"/>
    <w:basedOn w:val="a"/>
    <w:rsid w:val="00D1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C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5169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5169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3">
    <w:name w:val="s53"/>
    <w:basedOn w:val="a0"/>
    <w:rsid w:val="005169CC"/>
  </w:style>
  <w:style w:type="character" w:customStyle="1" w:styleId="s54">
    <w:name w:val="s54"/>
    <w:basedOn w:val="a0"/>
    <w:rsid w:val="005169CC"/>
  </w:style>
  <w:style w:type="character" w:customStyle="1" w:styleId="s52">
    <w:name w:val="s52"/>
    <w:basedOn w:val="a0"/>
    <w:rsid w:val="005169CC"/>
  </w:style>
  <w:style w:type="paragraph" w:styleId="a5">
    <w:name w:val="header"/>
    <w:basedOn w:val="a"/>
    <w:link w:val="a6"/>
    <w:uiPriority w:val="99"/>
    <w:unhideWhenUsed/>
    <w:rsid w:val="00CC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DD7"/>
  </w:style>
  <w:style w:type="paragraph" w:styleId="a7">
    <w:name w:val="footer"/>
    <w:basedOn w:val="a"/>
    <w:link w:val="a8"/>
    <w:uiPriority w:val="99"/>
    <w:unhideWhenUsed/>
    <w:rsid w:val="00CC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0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1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6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 Александр Георгиевич</dc:creator>
  <cp:keywords/>
  <dc:description/>
  <cp:lastModifiedBy>Елизавета Александровна Лобачева</cp:lastModifiedBy>
  <cp:revision>11</cp:revision>
  <cp:lastPrinted>2021-09-28T12:06:00Z</cp:lastPrinted>
  <dcterms:created xsi:type="dcterms:W3CDTF">2021-09-28T11:49:00Z</dcterms:created>
  <dcterms:modified xsi:type="dcterms:W3CDTF">2021-09-30T11:32:00Z</dcterms:modified>
</cp:coreProperties>
</file>